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AF434" w14:textId="4ABFE17B" w:rsidR="00EA4C1B" w:rsidRPr="0039256B" w:rsidRDefault="00AB08E6">
      <w:r w:rsidRPr="0039256B">
        <w:t>BRA-2-2024-S.9</w:t>
      </w:r>
    </w:p>
    <w:p w14:paraId="53D5CD22" w14:textId="77777777" w:rsidR="00AB08E6" w:rsidRDefault="00AB08E6"/>
    <w:p w14:paraId="554E313F" w14:textId="77777777" w:rsidR="00AB08E6" w:rsidRPr="00DA5360" w:rsidRDefault="00AB08E6" w:rsidP="00AB08E6">
      <w:pPr>
        <w:rPr>
          <w:b/>
          <w:bCs/>
          <w:sz w:val="28"/>
          <w:szCs w:val="28"/>
        </w:rPr>
      </w:pPr>
      <w:r w:rsidRPr="00DA5360">
        <w:rPr>
          <w:b/>
          <w:bCs/>
          <w:sz w:val="28"/>
          <w:szCs w:val="28"/>
        </w:rPr>
        <w:t>Muster-Betriebsvereinbarung: Digitalisierung</w:t>
      </w:r>
    </w:p>
    <w:p w14:paraId="33C41FAB" w14:textId="77777777" w:rsidR="00AB08E6" w:rsidRDefault="00AB08E6" w:rsidP="00AB08E6"/>
    <w:p w14:paraId="0B110135" w14:textId="5F84A999" w:rsidR="003557C4" w:rsidRDefault="00AB08E6" w:rsidP="00AB08E6">
      <w:r>
        <w:t xml:space="preserve">Zwischen der … (Name des </w:t>
      </w:r>
      <w:r w:rsidR="003557C4">
        <w:t>Arbeitgebers</w:t>
      </w:r>
      <w:r>
        <w:t xml:space="preserve">), vertreten durch </w:t>
      </w:r>
      <w:r w:rsidR="003557C4">
        <w:t>die</w:t>
      </w:r>
      <w:r>
        <w:t xml:space="preserve"> Geschäfts</w:t>
      </w:r>
      <w:r w:rsidR="003557C4">
        <w:t>leitung</w:t>
      </w:r>
      <w:r w:rsidR="003557C4" w:rsidRPr="0039256B">
        <w:t xml:space="preserve"> …</w:t>
      </w:r>
      <w:r w:rsidRPr="0039256B">
        <w:t>,</w:t>
      </w:r>
      <w:r>
        <w:t xml:space="preserve"> </w:t>
      </w:r>
    </w:p>
    <w:p w14:paraId="7F705098" w14:textId="337BFE75" w:rsidR="003557C4" w:rsidRDefault="00AB08E6" w:rsidP="00AB08E6">
      <w:r w:rsidRPr="0039256B">
        <w:t>und</w:t>
      </w:r>
      <w:r>
        <w:t xml:space="preserve"> dem Betriebsrat </w:t>
      </w:r>
      <w:r w:rsidRPr="00CF7885">
        <w:t xml:space="preserve">der </w:t>
      </w:r>
      <w:r w:rsidRPr="0039256B">
        <w:t>…</w:t>
      </w:r>
      <w:r w:rsidR="00BE1827" w:rsidRPr="0039256B">
        <w:t xml:space="preserve"> </w:t>
      </w:r>
      <w:r w:rsidRPr="0039256B">
        <w:t>(</w:t>
      </w:r>
      <w:r>
        <w:t xml:space="preserve">Name des </w:t>
      </w:r>
      <w:r w:rsidR="003557C4">
        <w:t>Arbeitgebers</w:t>
      </w:r>
      <w:r>
        <w:t xml:space="preserve">), vertreten durch </w:t>
      </w:r>
      <w:r w:rsidR="003557C4">
        <w:t>die/</w:t>
      </w:r>
      <w:r w:rsidRPr="0039256B">
        <w:t xml:space="preserve">den </w:t>
      </w:r>
      <w:r w:rsidR="003557C4" w:rsidRPr="0039256B">
        <w:t>Betriebsratsv</w:t>
      </w:r>
      <w:r w:rsidRPr="0039256B">
        <w:t>orsitzende</w:t>
      </w:r>
      <w:r w:rsidR="003557C4">
        <w:t>/-</w:t>
      </w:r>
      <w:r>
        <w:t>n</w:t>
      </w:r>
      <w:r w:rsidR="003557C4" w:rsidRPr="0039256B">
        <w:t xml:space="preserve"> …</w:t>
      </w:r>
      <w:r w:rsidRPr="0039256B">
        <w:t>,</w:t>
      </w:r>
      <w:r>
        <w:t xml:space="preserve"> </w:t>
      </w:r>
    </w:p>
    <w:p w14:paraId="05FFBE8A" w14:textId="2668040E" w:rsidR="00AB08E6" w:rsidRDefault="00AB08E6" w:rsidP="00AB08E6">
      <w:r w:rsidRPr="0039256B">
        <w:t>wird</w:t>
      </w:r>
      <w:r>
        <w:t xml:space="preserve"> </w:t>
      </w:r>
      <w:r w:rsidRPr="00CF7885">
        <w:t>die folgende Betriebsvereinbarung</w:t>
      </w:r>
      <w:r>
        <w:t xml:space="preserve"> zum Thema Digitalisierung geschlossen:</w:t>
      </w:r>
    </w:p>
    <w:p w14:paraId="3F3D5853" w14:textId="77777777" w:rsidR="00AB08E6" w:rsidRDefault="00AB08E6" w:rsidP="00AB08E6"/>
    <w:p w14:paraId="2F7237BA" w14:textId="77777777" w:rsidR="00AB08E6" w:rsidRPr="001A5B55" w:rsidRDefault="00AB08E6" w:rsidP="00AB08E6">
      <w:pPr>
        <w:rPr>
          <w:b/>
          <w:bCs/>
        </w:rPr>
      </w:pPr>
      <w:r w:rsidRPr="001A5B55">
        <w:rPr>
          <w:b/>
          <w:bCs/>
        </w:rPr>
        <w:t>Präambel</w:t>
      </w:r>
    </w:p>
    <w:p w14:paraId="4BD0B0AA" w14:textId="2895E66A" w:rsidR="00AB08E6" w:rsidRDefault="00AB08E6" w:rsidP="00AB08E6">
      <w:r>
        <w:t xml:space="preserve">Arbeitgeber und Betriebsrat sind sich darüber einig, dass sich </w:t>
      </w:r>
      <w:r w:rsidR="003557C4">
        <w:t xml:space="preserve">die </w:t>
      </w:r>
      <w:r>
        <w:t>Technisierung und Digitalisierung in der Arbeitswelt nicht aufhalten lassen. Die</w:t>
      </w:r>
      <w:r w:rsidR="003557C4">
        <w:t>se</w:t>
      </w:r>
      <w:r>
        <w:t xml:space="preserve"> Betriebsvereinbarung soll den damit verbundenen Fortschritt so mitarbeiterschonend wie möglich gestalten.</w:t>
      </w:r>
    </w:p>
    <w:p w14:paraId="20163849" w14:textId="77777777" w:rsidR="00AB08E6" w:rsidRDefault="00AB08E6" w:rsidP="00AB08E6"/>
    <w:p w14:paraId="0F7A09C9" w14:textId="77777777" w:rsidR="00AB08E6" w:rsidRPr="001A5B55" w:rsidRDefault="00AB08E6" w:rsidP="00AB08E6">
      <w:pPr>
        <w:rPr>
          <w:b/>
          <w:bCs/>
        </w:rPr>
      </w:pPr>
      <w:r w:rsidRPr="001A5B55">
        <w:rPr>
          <w:b/>
          <w:bCs/>
        </w:rPr>
        <w:t>§ 1 Gegenstand</w:t>
      </w:r>
    </w:p>
    <w:p w14:paraId="57D61F83" w14:textId="77777777" w:rsidR="00AB08E6" w:rsidRDefault="00AB08E6" w:rsidP="00AB08E6">
      <w:r>
        <w:t xml:space="preserve">Mit der Betriebsvereinbarung werden </w:t>
      </w:r>
      <w:r w:rsidRPr="0039256B">
        <w:t>die</w:t>
      </w:r>
      <w:r>
        <w:t xml:space="preserve"> </w:t>
      </w:r>
    </w:p>
    <w:p w14:paraId="02496EC8" w14:textId="600BFF65" w:rsidR="00AB08E6" w:rsidRDefault="00AB08E6" w:rsidP="003557C4">
      <w:pPr>
        <w:pStyle w:val="Listenabsatz"/>
        <w:numPr>
          <w:ilvl w:val="0"/>
          <w:numId w:val="1"/>
        </w:numPr>
      </w:pPr>
      <w:r>
        <w:t xml:space="preserve">Einführung, Nutzung und Änderung </w:t>
      </w:r>
      <w:r w:rsidRPr="00CF7885">
        <w:t>technischer</w:t>
      </w:r>
      <w:r>
        <w:t xml:space="preserve"> sowie </w:t>
      </w:r>
      <w:r w:rsidRPr="00CF7885">
        <w:t>biometrischer</w:t>
      </w:r>
      <w:r>
        <w:t xml:space="preserve"> Systeme und die damit einhergehende Datenverarbeitung,</w:t>
      </w:r>
    </w:p>
    <w:p w14:paraId="562B9AF0" w14:textId="77777777" w:rsidR="00AB08E6" w:rsidRDefault="00AB08E6" w:rsidP="00AB08E6">
      <w:pPr>
        <w:pStyle w:val="Listenabsatz"/>
        <w:numPr>
          <w:ilvl w:val="0"/>
          <w:numId w:val="1"/>
        </w:numPr>
      </w:pPr>
      <w:r w:rsidRPr="0039256B">
        <w:t>der</w:t>
      </w:r>
      <w:r>
        <w:t xml:space="preserve"> Einsatz von Robotern oder</w:t>
      </w:r>
    </w:p>
    <w:p w14:paraId="61E3D070" w14:textId="77777777" w:rsidR="00AB08E6" w:rsidRDefault="00AB08E6" w:rsidP="00AB08E6">
      <w:pPr>
        <w:pStyle w:val="Listenabsatz"/>
        <w:numPr>
          <w:ilvl w:val="0"/>
          <w:numId w:val="1"/>
        </w:numPr>
      </w:pPr>
      <w:r w:rsidRPr="0039256B">
        <w:t>anderer</w:t>
      </w:r>
      <w:r>
        <w:t xml:space="preserve"> digitaler Systeme</w:t>
      </w:r>
    </w:p>
    <w:p w14:paraId="7BC05511" w14:textId="77777777" w:rsidR="00AB08E6" w:rsidRDefault="00AB08E6" w:rsidP="00AB08E6">
      <w:pPr>
        <w:ind w:left="360"/>
      </w:pPr>
      <w:r w:rsidRPr="0039256B">
        <w:t>in</w:t>
      </w:r>
      <w:r>
        <w:t xml:space="preserve"> der heutigen Arbeitswelt geregelt.</w:t>
      </w:r>
    </w:p>
    <w:p w14:paraId="1C8C5B19" w14:textId="77777777" w:rsidR="00AB08E6" w:rsidRDefault="00AB08E6" w:rsidP="00AB08E6">
      <w:pPr>
        <w:ind w:left="360"/>
      </w:pPr>
    </w:p>
    <w:p w14:paraId="4F8F938A" w14:textId="77777777" w:rsidR="00AB08E6" w:rsidRPr="001A5B55" w:rsidRDefault="00AB08E6" w:rsidP="00AB08E6">
      <w:pPr>
        <w:ind w:left="360"/>
        <w:rPr>
          <w:b/>
          <w:bCs/>
        </w:rPr>
      </w:pPr>
      <w:r w:rsidRPr="001A5B55">
        <w:rPr>
          <w:b/>
          <w:bCs/>
        </w:rPr>
        <w:t xml:space="preserve">§ 2 Geltungsbereich </w:t>
      </w:r>
    </w:p>
    <w:p w14:paraId="521BFD95" w14:textId="77777777" w:rsidR="00AB08E6" w:rsidRDefault="00AB08E6" w:rsidP="00AB08E6">
      <w:pPr>
        <w:ind w:left="360"/>
      </w:pPr>
      <w:r>
        <w:t>Die Betriebsvereinbarung gilt für alle Beschäftigten des Unternehmens und für alle technischen Systeme, die zum Einsatz kommen. Dabei ist unerheblich, an welchem Ort sich die Systeme befinden.</w:t>
      </w:r>
    </w:p>
    <w:p w14:paraId="16DC1EEA" w14:textId="77777777" w:rsidR="00AB08E6" w:rsidRDefault="00AB08E6" w:rsidP="00AB08E6">
      <w:pPr>
        <w:ind w:left="360"/>
      </w:pPr>
    </w:p>
    <w:p w14:paraId="159AAC0F" w14:textId="77777777" w:rsidR="00AB08E6" w:rsidRPr="001A5B55" w:rsidRDefault="00AB08E6" w:rsidP="00AB08E6">
      <w:pPr>
        <w:ind w:left="360"/>
        <w:rPr>
          <w:b/>
          <w:bCs/>
        </w:rPr>
      </w:pPr>
      <w:r w:rsidRPr="001A5B55">
        <w:rPr>
          <w:b/>
          <w:bCs/>
        </w:rPr>
        <w:t>§ 3 Mitbestimmung</w:t>
      </w:r>
    </w:p>
    <w:p w14:paraId="69C78600" w14:textId="77777777" w:rsidR="00AB08E6" w:rsidRDefault="00AB08E6" w:rsidP="00AB08E6">
      <w:pPr>
        <w:ind w:left="360"/>
      </w:pPr>
      <w:r>
        <w:t>Der Arbeitgeber hat den Betriebsrat vor dem Einsatz eines jeden technischen Systems, das geeignet ist, die Mitarbeiter zu überwachen, umfassend zu beteiligen und dessen Zustimmung einzuholen.</w:t>
      </w:r>
    </w:p>
    <w:p w14:paraId="266CA3F0" w14:textId="77777777" w:rsidR="00AB08E6" w:rsidRDefault="00AB08E6" w:rsidP="00AB08E6">
      <w:pPr>
        <w:ind w:left="360"/>
      </w:pPr>
    </w:p>
    <w:p w14:paraId="30DA0448" w14:textId="77777777" w:rsidR="00AB08E6" w:rsidRDefault="00AB08E6" w:rsidP="00AB08E6">
      <w:pPr>
        <w:ind w:left="360"/>
      </w:pPr>
      <w:r>
        <w:t xml:space="preserve">Dies dient in erster Linie dem Persönlichkeitsschutz eines jeden Arbeitnehmers im Betrieb, und </w:t>
      </w:r>
      <w:r w:rsidRPr="0039256B">
        <w:t>zwar</w:t>
      </w:r>
      <w:r>
        <w:t xml:space="preserve"> </w:t>
      </w:r>
    </w:p>
    <w:p w14:paraId="36E30CAF" w14:textId="77777777" w:rsidR="00AB08E6" w:rsidRDefault="00AB08E6" w:rsidP="00AB08E6">
      <w:pPr>
        <w:ind w:left="360"/>
      </w:pPr>
    </w:p>
    <w:p w14:paraId="3F6A56D6" w14:textId="77777777" w:rsidR="00AB08E6" w:rsidRDefault="00AB08E6" w:rsidP="00AB08E6">
      <w:pPr>
        <w:pStyle w:val="Listenabsatz"/>
        <w:numPr>
          <w:ilvl w:val="0"/>
          <w:numId w:val="1"/>
        </w:numPr>
      </w:pPr>
      <w:r w:rsidRPr="0039256B">
        <w:t>als</w:t>
      </w:r>
      <w:r>
        <w:t xml:space="preserve"> vorbeugender Schutz gegen unzulässige Eingriffe in das Persönlichkeitsrecht,</w:t>
      </w:r>
    </w:p>
    <w:p w14:paraId="6D923199" w14:textId="2AEF1F32" w:rsidR="00AB08E6" w:rsidRDefault="00AB08E6" w:rsidP="00AB08E6">
      <w:pPr>
        <w:pStyle w:val="Listenabsatz"/>
        <w:numPr>
          <w:ilvl w:val="0"/>
          <w:numId w:val="1"/>
        </w:numPr>
      </w:pPr>
      <w:r w:rsidRPr="0039256B">
        <w:t>als</w:t>
      </w:r>
      <w:r>
        <w:t xml:space="preserve"> Mitbeurteilungsrecht des Betriebsrats bei der Festlegung der Grenze zwischen zulässiger und unzulässiger Kontrolle </w:t>
      </w:r>
      <w:r w:rsidR="003557C4">
        <w:t>sowie</w:t>
      </w:r>
    </w:p>
    <w:p w14:paraId="1C859CF7" w14:textId="77777777" w:rsidR="00AB08E6" w:rsidRDefault="00AB08E6" w:rsidP="00AB08E6">
      <w:pPr>
        <w:pStyle w:val="Listenabsatz"/>
        <w:numPr>
          <w:ilvl w:val="0"/>
          <w:numId w:val="1"/>
        </w:numPr>
      </w:pPr>
      <w:r w:rsidRPr="0039256B">
        <w:t>als</w:t>
      </w:r>
      <w:r>
        <w:t xml:space="preserve"> Mitgestaltungsrecht bei der Abfassung bzw. Formulierung von Ordnungsregeln zur Einführung und Anwendung von technischen Kontrolleinrichtungen.</w:t>
      </w:r>
    </w:p>
    <w:p w14:paraId="4CE3763D" w14:textId="77777777" w:rsidR="00AB08E6" w:rsidRDefault="00AB08E6" w:rsidP="00AB08E6"/>
    <w:p w14:paraId="4D3BD914" w14:textId="77777777" w:rsidR="00AB08E6" w:rsidRDefault="00AB08E6" w:rsidP="00AB08E6">
      <w:pPr>
        <w:ind w:left="360"/>
      </w:pPr>
      <w:r>
        <w:t>Zu diesem Zweck hat der Arbeitgeber den Betriebsrat nach § 80 Abs. 2 Satz 1 Betriebsverfassungsgesetz rechtzeitig und umfassend zu unterrichten.</w:t>
      </w:r>
    </w:p>
    <w:p w14:paraId="0C03A2B8" w14:textId="77777777" w:rsidR="00AB08E6" w:rsidRDefault="00AB08E6" w:rsidP="00AB08E6">
      <w:pPr>
        <w:ind w:left="360"/>
      </w:pPr>
    </w:p>
    <w:p w14:paraId="02862724" w14:textId="77777777" w:rsidR="00AB08E6" w:rsidRPr="001A5B55" w:rsidRDefault="00AB08E6" w:rsidP="00AB08E6">
      <w:pPr>
        <w:ind w:left="360"/>
        <w:rPr>
          <w:b/>
          <w:bCs/>
        </w:rPr>
      </w:pPr>
      <w:r w:rsidRPr="001A5B55">
        <w:rPr>
          <w:b/>
          <w:bCs/>
        </w:rPr>
        <w:t>§ 4 Informationspflicht</w:t>
      </w:r>
    </w:p>
    <w:p w14:paraId="6F984FB1" w14:textId="3FE60F73" w:rsidR="00AB08E6" w:rsidRDefault="00AB08E6" w:rsidP="00AB08E6">
      <w:pPr>
        <w:ind w:left="360"/>
      </w:pPr>
      <w:r>
        <w:t xml:space="preserve">Auch die Beschäftigten sind über die Funktionsweise der Systeme und </w:t>
      </w:r>
      <w:r w:rsidR="003557C4">
        <w:t>die</w:t>
      </w:r>
      <w:r>
        <w:t xml:space="preserve"> damit verbundenen Datenverarbeitungen umfassend zu informieren.</w:t>
      </w:r>
    </w:p>
    <w:p w14:paraId="41361B4F" w14:textId="77777777" w:rsidR="00AB08E6" w:rsidRDefault="00AB08E6" w:rsidP="00AB08E6">
      <w:pPr>
        <w:ind w:left="360"/>
      </w:pPr>
    </w:p>
    <w:p w14:paraId="53C28695" w14:textId="77777777" w:rsidR="00AB08E6" w:rsidRDefault="00AB08E6" w:rsidP="00AB08E6">
      <w:pPr>
        <w:ind w:left="360"/>
      </w:pPr>
      <w:r>
        <w:lastRenderedPageBreak/>
        <w:t xml:space="preserve">Der Betriebsrat und der Datenschutzbeauftragte müssen jeder Änderung oder Erweiterung des Systems vorab zustimmen. </w:t>
      </w:r>
    </w:p>
    <w:p w14:paraId="68B1D6A5" w14:textId="77777777" w:rsidR="00AB08E6" w:rsidRDefault="00AB08E6" w:rsidP="00AB08E6">
      <w:pPr>
        <w:ind w:left="360"/>
      </w:pPr>
    </w:p>
    <w:p w14:paraId="098473F4" w14:textId="77777777" w:rsidR="00AB08E6" w:rsidRPr="001A5B55" w:rsidRDefault="00AB08E6" w:rsidP="00AB08E6">
      <w:pPr>
        <w:ind w:left="360"/>
        <w:rPr>
          <w:b/>
          <w:bCs/>
        </w:rPr>
      </w:pPr>
      <w:r w:rsidRPr="001A5B55">
        <w:rPr>
          <w:b/>
          <w:bCs/>
        </w:rPr>
        <w:t>§ 5 Datenschutz</w:t>
      </w:r>
    </w:p>
    <w:p w14:paraId="3960FC5B" w14:textId="420B6EDD" w:rsidR="00AB08E6" w:rsidRDefault="00AB08E6" w:rsidP="00AB08E6">
      <w:pPr>
        <w:ind w:left="360"/>
      </w:pPr>
      <w:r>
        <w:t xml:space="preserve">Der Arbeitgeber stellt sicher, dass sämtliche datenschutzrechtlichen Vorgaben </w:t>
      </w:r>
      <w:r w:rsidR="003557C4">
        <w:t xml:space="preserve">wie </w:t>
      </w:r>
      <w:r>
        <w:t xml:space="preserve">Bundesdatenschutzgesetz, Datenschutz-Grundverordnung etc. stets und überall </w:t>
      </w:r>
      <w:r w:rsidRPr="0039256B">
        <w:t>von</w:t>
      </w:r>
    </w:p>
    <w:p w14:paraId="58BE090C" w14:textId="77777777" w:rsidR="00AB08E6" w:rsidRPr="00CF7885" w:rsidRDefault="00AB08E6" w:rsidP="00AB08E6">
      <w:pPr>
        <w:ind w:left="360"/>
      </w:pPr>
    </w:p>
    <w:p w14:paraId="0D6DF0F9" w14:textId="77777777" w:rsidR="00AB08E6" w:rsidRDefault="00AB08E6" w:rsidP="00AB08E6">
      <w:pPr>
        <w:pStyle w:val="Listenabsatz"/>
        <w:numPr>
          <w:ilvl w:val="0"/>
          <w:numId w:val="1"/>
        </w:numPr>
      </w:pPr>
      <w:r w:rsidRPr="0039256B">
        <w:t>allen</w:t>
      </w:r>
      <w:r>
        <w:t xml:space="preserve"> Führungskräften,</w:t>
      </w:r>
    </w:p>
    <w:p w14:paraId="4DC22B3E" w14:textId="77777777" w:rsidR="00AB08E6" w:rsidRDefault="00AB08E6" w:rsidP="00AB08E6">
      <w:pPr>
        <w:pStyle w:val="Listenabsatz"/>
        <w:numPr>
          <w:ilvl w:val="0"/>
          <w:numId w:val="1"/>
        </w:numPr>
      </w:pPr>
      <w:r>
        <w:t>Arbeitnehmern sowie</w:t>
      </w:r>
    </w:p>
    <w:p w14:paraId="2D01B880" w14:textId="77777777" w:rsidR="00AB08E6" w:rsidRDefault="00AB08E6" w:rsidP="00AB08E6">
      <w:pPr>
        <w:pStyle w:val="Listenabsatz"/>
        <w:numPr>
          <w:ilvl w:val="0"/>
          <w:numId w:val="1"/>
        </w:numPr>
      </w:pPr>
      <w:r w:rsidRPr="0039256B">
        <w:t>externen</w:t>
      </w:r>
      <w:r>
        <w:t xml:space="preserve"> Stellen</w:t>
      </w:r>
    </w:p>
    <w:p w14:paraId="360FCB36" w14:textId="77777777" w:rsidR="00AB08E6" w:rsidRDefault="00AB08E6" w:rsidP="00AB08E6">
      <w:pPr>
        <w:pStyle w:val="Listenabsatz"/>
      </w:pPr>
    </w:p>
    <w:p w14:paraId="16F39FC0" w14:textId="77777777" w:rsidR="00AB08E6" w:rsidRDefault="00AB08E6" w:rsidP="003557C4">
      <w:pPr>
        <w:ind w:left="284"/>
      </w:pPr>
      <w:r w:rsidRPr="0039256B">
        <w:t>eingehalten</w:t>
      </w:r>
      <w:r>
        <w:t xml:space="preserve"> und auch durch den Einsatz digitaler Systeme nicht gefährdet werden. </w:t>
      </w:r>
    </w:p>
    <w:p w14:paraId="1B444705" w14:textId="77777777" w:rsidR="00AB08E6" w:rsidRDefault="00AB08E6" w:rsidP="003557C4">
      <w:pPr>
        <w:ind w:left="284"/>
      </w:pPr>
    </w:p>
    <w:p w14:paraId="25653C1F" w14:textId="77777777" w:rsidR="00AB08E6" w:rsidRPr="00736ED7" w:rsidRDefault="00AB08E6" w:rsidP="003557C4">
      <w:pPr>
        <w:ind w:left="284"/>
        <w:rPr>
          <w:b/>
          <w:bCs/>
        </w:rPr>
      </w:pPr>
      <w:r w:rsidRPr="00736ED7">
        <w:rPr>
          <w:b/>
          <w:bCs/>
        </w:rPr>
        <w:t>§ 6 Arbeitsschutz</w:t>
      </w:r>
    </w:p>
    <w:p w14:paraId="37C038AB" w14:textId="77777777" w:rsidR="00AB08E6" w:rsidRDefault="00AB08E6" w:rsidP="003557C4">
      <w:pPr>
        <w:ind w:left="284"/>
      </w:pPr>
      <w:r>
        <w:t xml:space="preserve">Der Arbeitgeber stellt sicher, dass die Arbeitsschutzrechte der Arbeitnehmer, hier </w:t>
      </w:r>
      <w:r w:rsidRPr="0039256B">
        <w:t>insbesondere</w:t>
      </w:r>
    </w:p>
    <w:p w14:paraId="644AD5EE" w14:textId="77777777" w:rsidR="00AB08E6" w:rsidRDefault="00AB08E6" w:rsidP="003557C4">
      <w:pPr>
        <w:ind w:left="284"/>
      </w:pPr>
    </w:p>
    <w:p w14:paraId="25FDF530" w14:textId="77777777" w:rsidR="00AB08E6" w:rsidRDefault="00AB08E6" w:rsidP="003557C4">
      <w:pPr>
        <w:pStyle w:val="Listenabsatz"/>
        <w:numPr>
          <w:ilvl w:val="0"/>
          <w:numId w:val="1"/>
        </w:numPr>
        <w:ind w:left="709"/>
      </w:pPr>
      <w:r>
        <w:t>Ruhezeiten,</w:t>
      </w:r>
    </w:p>
    <w:p w14:paraId="1AB3F13B" w14:textId="77777777" w:rsidR="00AB08E6" w:rsidRDefault="00AB08E6" w:rsidP="003557C4">
      <w:pPr>
        <w:pStyle w:val="Listenabsatz"/>
        <w:numPr>
          <w:ilvl w:val="0"/>
          <w:numId w:val="1"/>
        </w:numPr>
        <w:ind w:left="709"/>
      </w:pPr>
      <w:r w:rsidRPr="0039256B">
        <w:t>das</w:t>
      </w:r>
      <w:r>
        <w:t xml:space="preserve"> Recht auf informationelle Selbstbestimmung und</w:t>
      </w:r>
    </w:p>
    <w:p w14:paraId="043A2028" w14:textId="77777777" w:rsidR="00AB08E6" w:rsidRDefault="00AB08E6" w:rsidP="003557C4">
      <w:pPr>
        <w:pStyle w:val="Listenabsatz"/>
        <w:numPr>
          <w:ilvl w:val="0"/>
          <w:numId w:val="1"/>
        </w:numPr>
        <w:ind w:left="709"/>
      </w:pPr>
      <w:r w:rsidRPr="0039256B">
        <w:t>das</w:t>
      </w:r>
      <w:r>
        <w:t xml:space="preserve"> Arbeitszeitgesetz,</w:t>
      </w:r>
    </w:p>
    <w:p w14:paraId="44F04917" w14:textId="77777777" w:rsidR="00AB08E6" w:rsidRDefault="00AB08E6" w:rsidP="003557C4">
      <w:pPr>
        <w:ind w:left="349"/>
      </w:pPr>
      <w:r w:rsidRPr="0039256B">
        <w:t>durch</w:t>
      </w:r>
      <w:r>
        <w:t xml:space="preserve"> den Einsatz der digitalen Systeme nicht gefährdet werden.</w:t>
      </w:r>
    </w:p>
    <w:p w14:paraId="5130D7CA" w14:textId="77777777" w:rsidR="00AB08E6" w:rsidRDefault="00AB08E6" w:rsidP="003557C4">
      <w:pPr>
        <w:ind w:left="284"/>
      </w:pPr>
    </w:p>
    <w:p w14:paraId="59D33174" w14:textId="77777777" w:rsidR="00AB08E6" w:rsidRPr="00736ED7" w:rsidRDefault="00AB08E6" w:rsidP="003557C4">
      <w:pPr>
        <w:ind w:left="284"/>
        <w:rPr>
          <w:b/>
          <w:bCs/>
        </w:rPr>
      </w:pPr>
      <w:r w:rsidRPr="00736ED7">
        <w:rPr>
          <w:b/>
          <w:bCs/>
        </w:rPr>
        <w:t>§ 7 Rechte des Betriebsrats</w:t>
      </w:r>
    </w:p>
    <w:p w14:paraId="161D1D83" w14:textId="541A550F" w:rsidR="00AB08E6" w:rsidRDefault="00AB08E6" w:rsidP="003557C4">
      <w:pPr>
        <w:ind w:left="284"/>
      </w:pPr>
      <w:r>
        <w:t>Der Betriebsrat hat das Recht, jederzeit die Einhaltung der Regelungen dieser Betriebsvereinbarung zu überprüfen.</w:t>
      </w:r>
    </w:p>
    <w:p w14:paraId="7601F36B" w14:textId="77777777" w:rsidR="00AB08E6" w:rsidRDefault="00AB08E6" w:rsidP="003557C4">
      <w:pPr>
        <w:ind w:left="284"/>
      </w:pPr>
    </w:p>
    <w:p w14:paraId="43E43EFD" w14:textId="77777777" w:rsidR="00AB08E6" w:rsidRPr="00736ED7" w:rsidRDefault="00AB08E6" w:rsidP="003557C4">
      <w:pPr>
        <w:ind w:left="284"/>
        <w:rPr>
          <w:b/>
          <w:bCs/>
        </w:rPr>
      </w:pPr>
      <w:r w:rsidRPr="00736ED7">
        <w:rPr>
          <w:b/>
          <w:bCs/>
        </w:rPr>
        <w:t>§ 8 Salvatorische Klausel</w:t>
      </w:r>
    </w:p>
    <w:p w14:paraId="26515823" w14:textId="6194D68D" w:rsidR="00AB08E6" w:rsidRDefault="00AB08E6" w:rsidP="003557C4">
      <w:pPr>
        <w:ind w:left="284"/>
      </w:pPr>
      <w:r>
        <w:t xml:space="preserve">Sollten </w:t>
      </w:r>
      <w:r w:rsidR="003557C4">
        <w:t xml:space="preserve">einzelne </w:t>
      </w:r>
      <w:r>
        <w:t>Bestimmungen dieser Betriebsvereinbarung unwirksam sein oder werden, wird hierdurch die Gültigkeit der übrigen Bestimmungen dieser Vereinbarung nicht berührt.</w:t>
      </w:r>
    </w:p>
    <w:p w14:paraId="6A299FA1" w14:textId="77777777" w:rsidR="00AB08E6" w:rsidRDefault="00AB08E6" w:rsidP="003557C4">
      <w:pPr>
        <w:ind w:left="284"/>
      </w:pPr>
      <w:r>
        <w:t>Die Parteien werden in diesem Fall unverzüglich Verhandlungen aufnehmen, um die unwirksame Bestimmung durch eine wirksame zu ersetzen.</w:t>
      </w:r>
    </w:p>
    <w:p w14:paraId="59DDD348" w14:textId="77777777" w:rsidR="00AB08E6" w:rsidRDefault="00AB08E6" w:rsidP="003557C4">
      <w:pPr>
        <w:ind w:left="284"/>
      </w:pPr>
    </w:p>
    <w:p w14:paraId="2DFF4B4C" w14:textId="77777777" w:rsidR="00AB08E6" w:rsidRPr="00736ED7" w:rsidRDefault="00AB08E6" w:rsidP="003557C4">
      <w:pPr>
        <w:ind w:left="284"/>
        <w:rPr>
          <w:b/>
          <w:bCs/>
        </w:rPr>
      </w:pPr>
      <w:r w:rsidRPr="00736ED7">
        <w:rPr>
          <w:b/>
          <w:bCs/>
        </w:rPr>
        <w:t>§ 9 Inkrafttreten und Kündigung</w:t>
      </w:r>
    </w:p>
    <w:p w14:paraId="35F869CB" w14:textId="77777777" w:rsidR="00AB08E6" w:rsidRDefault="00AB08E6" w:rsidP="003557C4">
      <w:pPr>
        <w:ind w:left="284"/>
      </w:pPr>
      <w:r>
        <w:t xml:space="preserve">Die Betriebsvereinbarung tritt mit ihrer Unterzeichnung am … in Kraft. Sie gilt auf unbestimmte Zeit. </w:t>
      </w:r>
    </w:p>
    <w:p w14:paraId="001F2B65" w14:textId="77777777" w:rsidR="00AB08E6" w:rsidRDefault="00AB08E6" w:rsidP="003557C4">
      <w:pPr>
        <w:ind w:left="284"/>
      </w:pPr>
      <w:r>
        <w:t>Die Betriebsvereinbarung kann jederzeit von beiden Parteien schriftlich mit einer Frist von 3 Monaten gekündigt werden.</w:t>
      </w:r>
    </w:p>
    <w:p w14:paraId="47B2B2B5" w14:textId="12472FAE" w:rsidR="00AB08E6" w:rsidRDefault="009E3EF1" w:rsidP="003557C4">
      <w:pPr>
        <w:ind w:left="284"/>
      </w:pPr>
      <w:r>
        <w:t>Ihre</w:t>
      </w:r>
      <w:r w:rsidR="00AB08E6">
        <w:t xml:space="preserve"> Bestimmungen gelten nach einer schriftlichen Kündigung bis zum Abschluss einer neuen Betriebsvereinbarung</w:t>
      </w:r>
      <w:r w:rsidR="003557C4">
        <w:t xml:space="preserve"> zu diesem Thema</w:t>
      </w:r>
      <w:r w:rsidR="00AB08E6">
        <w:t xml:space="preserve"> fort. Nach Eingang der Kündigung sind unverzüglich Verhandlungen über eine neue </w:t>
      </w:r>
      <w:r w:rsidR="003557C4">
        <w:t>V</w:t>
      </w:r>
      <w:r w:rsidR="00AB08E6">
        <w:t>ereinbarung aufzunehmen.</w:t>
      </w:r>
    </w:p>
    <w:p w14:paraId="2D7E9A27" w14:textId="77777777" w:rsidR="00AB08E6" w:rsidRDefault="00AB08E6" w:rsidP="003557C4">
      <w:pPr>
        <w:ind w:left="284"/>
      </w:pPr>
    </w:p>
    <w:p w14:paraId="002DB419" w14:textId="735951BD" w:rsidR="00AB08E6" w:rsidRDefault="00AB08E6" w:rsidP="003557C4">
      <w:pPr>
        <w:ind w:left="284"/>
      </w:pPr>
      <w:r>
        <w:t>Ort, Datum</w:t>
      </w:r>
      <w:r w:rsidR="003557C4">
        <w:t xml:space="preserve">, </w:t>
      </w:r>
      <w:r>
        <w:t>Unterschriften</w:t>
      </w:r>
    </w:p>
    <w:p w14:paraId="7462E52A" w14:textId="77777777" w:rsidR="00AB08E6" w:rsidRDefault="00AB08E6" w:rsidP="003557C4">
      <w:pPr>
        <w:ind w:left="284"/>
      </w:pPr>
    </w:p>
    <w:p w14:paraId="3B9EC73D" w14:textId="77777777" w:rsidR="00AB08E6" w:rsidRDefault="00AB08E6"/>
    <w:sectPr w:rsidR="00AB08E6" w:rsidSect="00B67D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B391F" w14:textId="77777777" w:rsidR="00B67D30" w:rsidRDefault="00B67D30" w:rsidP="00BE1827">
      <w:r>
        <w:separator/>
      </w:r>
    </w:p>
  </w:endnote>
  <w:endnote w:type="continuationSeparator" w:id="0">
    <w:p w14:paraId="3F939C27" w14:textId="77777777" w:rsidR="00B67D30" w:rsidRDefault="00B67D30" w:rsidP="00BE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6AABC" w14:textId="77777777" w:rsidR="00BE1827" w:rsidRDefault="00BE182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4AC2E" w14:textId="77777777" w:rsidR="00BE1827" w:rsidRDefault="00BE182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E450D" w14:textId="77777777" w:rsidR="00BE1827" w:rsidRDefault="00BE18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CB03D" w14:textId="77777777" w:rsidR="00B67D30" w:rsidRDefault="00B67D30" w:rsidP="00BE1827">
      <w:r>
        <w:separator/>
      </w:r>
    </w:p>
  </w:footnote>
  <w:footnote w:type="continuationSeparator" w:id="0">
    <w:p w14:paraId="38B1B8AC" w14:textId="77777777" w:rsidR="00B67D30" w:rsidRDefault="00B67D30" w:rsidP="00BE1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EF184" w14:textId="77777777" w:rsidR="00BE1827" w:rsidRDefault="00BE182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81CFD" w14:textId="77777777" w:rsidR="00BE1827" w:rsidRDefault="00BE182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C59E" w14:textId="77777777" w:rsidR="00BE1827" w:rsidRDefault="00BE182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D4799"/>
    <w:multiLevelType w:val="hybridMultilevel"/>
    <w:tmpl w:val="A6E8A974"/>
    <w:lvl w:ilvl="0" w:tplc="8D02F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80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E6"/>
    <w:rsid w:val="003557C4"/>
    <w:rsid w:val="0039256B"/>
    <w:rsid w:val="006316A6"/>
    <w:rsid w:val="00664AAB"/>
    <w:rsid w:val="0094513C"/>
    <w:rsid w:val="009E3EF1"/>
    <w:rsid w:val="00AB08E6"/>
    <w:rsid w:val="00B67D30"/>
    <w:rsid w:val="00BE1827"/>
    <w:rsid w:val="00C612FD"/>
    <w:rsid w:val="00E81846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ABD8E6"/>
  <w15:chartTrackingRefBased/>
  <w15:docId w15:val="{75A207D4-8A55-964A-9936-46BE528E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B08E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E182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E1827"/>
  </w:style>
  <w:style w:type="paragraph" w:styleId="Fuzeile">
    <w:name w:val="footer"/>
    <w:basedOn w:val="Standard"/>
    <w:link w:val="FuzeileZchn"/>
    <w:uiPriority w:val="99"/>
    <w:unhideWhenUsed/>
    <w:rsid w:val="00BE182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E1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Friederike Becker-Lerchner</cp:lastModifiedBy>
  <cp:revision>2</cp:revision>
  <dcterms:created xsi:type="dcterms:W3CDTF">2024-01-19T11:50:00Z</dcterms:created>
  <dcterms:modified xsi:type="dcterms:W3CDTF">2024-01-19T11:50:00Z</dcterms:modified>
</cp:coreProperties>
</file>