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63AF" w14:paraId="3A48ED93" w14:textId="77777777" w:rsidTr="001C63AF">
        <w:tc>
          <w:tcPr>
            <w:tcW w:w="9212" w:type="dxa"/>
          </w:tcPr>
          <w:p w14:paraId="18CAE1E6" w14:textId="0AC9D3DA" w:rsidR="001C63AF" w:rsidRPr="001C63AF" w:rsidRDefault="001C63AF" w:rsidP="003C05A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C63AF">
              <w:rPr>
                <w:rFonts w:ascii="Calibri" w:hAnsi="Calibri" w:cs="Calibri"/>
                <w:b/>
                <w:bCs/>
                <w:sz w:val="18"/>
                <w:szCs w:val="18"/>
              </w:rPr>
              <w:t>Muster</w:t>
            </w:r>
            <w:r w:rsidR="00E93AB6">
              <w:rPr>
                <w:rFonts w:ascii="Calibri" w:hAnsi="Calibri" w:cs="Calibri"/>
                <w:b/>
                <w:bCs/>
                <w:sz w:val="18"/>
                <w:szCs w:val="18"/>
              </w:rPr>
              <w:t>-Dienstvereinbarung:</w:t>
            </w:r>
            <w:r w:rsidRPr="001C63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3C05AD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G</w:t>
            </w:r>
            <w:r w:rsidR="003C05AD" w:rsidRPr="001C63AF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enerelle</w:t>
            </w:r>
            <w:r w:rsidR="003C05AD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s</w:t>
            </w:r>
            <w:r w:rsidR="003C05AD" w:rsidRPr="001C63AF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 xml:space="preserve">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Alkohol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-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 xml:space="preserve"> und Cannabisverbot</w:t>
            </w:r>
          </w:p>
        </w:tc>
      </w:tr>
      <w:tr w:rsidR="001C63AF" w14:paraId="018732C4" w14:textId="77777777" w:rsidTr="001C63AF">
        <w:tc>
          <w:tcPr>
            <w:tcW w:w="9212" w:type="dxa"/>
          </w:tcPr>
          <w:p w14:paraId="3A137E3E" w14:textId="10F632FF" w:rsidR="001C63AF" w:rsidRPr="001C63AF" w:rsidRDefault="00E93AB6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Dienst</w:t>
            </w:r>
            <w:r w:rsidR="001C63AF"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vereinbarung </w:t>
            </w:r>
          </w:p>
          <w:p w14:paraId="520D6E98" w14:textId="1E034143" w:rsidR="00584BCD" w:rsidRDefault="00584BCD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>
              <w:rPr>
                <w:rFonts w:ascii="Calibri" w:hAnsi="Calibri" w:cs="Calibri"/>
                <w:color w:val="292526"/>
                <w:sz w:val="16"/>
                <w:szCs w:val="16"/>
              </w:rPr>
              <w:t>z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wischen der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Einrichtung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XY</w:t>
            </w:r>
            <w:r>
              <w:rPr>
                <w:rFonts w:ascii="Calibri" w:hAnsi="Calibri" w:cs="Calibri"/>
                <w:color w:val="292526"/>
                <w:sz w:val="16"/>
                <w:szCs w:val="16"/>
              </w:rPr>
              <w:t>,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vertreten durch den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*die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Vorsitzende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n der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Dienststellenleitung</w:t>
            </w:r>
            <w:r>
              <w:rPr>
                <w:rFonts w:ascii="Calibri" w:hAnsi="Calibri" w:cs="Calibri"/>
                <w:color w:val="292526"/>
                <w:sz w:val="16"/>
                <w:szCs w:val="16"/>
              </w:rPr>
              <w:t>,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</w:p>
          <w:p w14:paraId="3584B631" w14:textId="32286091" w:rsidR="00584BCD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und </w:t>
            </w:r>
          </w:p>
          <w:p w14:paraId="697672AB" w14:textId="1A7E7178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r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MAV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XY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,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vertreten durch den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Vorsitzende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n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,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über die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Errichtung eines generellen Alkohol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-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 und Cannabisverbots</w:t>
            </w:r>
          </w:p>
          <w:p w14:paraId="0019FA11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1 Regelungsgegenstand </w:t>
            </w:r>
          </w:p>
          <w:p w14:paraId="7D232CC4" w14:textId="1CA09FD2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Gegenstand dieser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Dienst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vereinbarung ist die Errichtung eines generellen Alkoholverbots auf dem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G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elände der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Einrichtung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. Zur Gewährleistung der Sicherheit der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Mitarbeitenden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und der betrieblichen Anlagen ist es erforderlich, eine verbindliche Regelung für alle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Mitarbeitenden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zu schaffen.</w:t>
            </w:r>
          </w:p>
          <w:p w14:paraId="49795902" w14:textId="5AFB5CEF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§ 2 Alkohol- und Can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n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abisverbot </w:t>
            </w:r>
          </w:p>
          <w:p w14:paraId="4F587AAA" w14:textId="7BD10405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Um die mit dem Alkohol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-</w:t>
            </w:r>
            <w:r w:rsidR="008D65FB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und Cannabisgenuss verbundenen Gefahren für die Sicherheit der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Mitarbeitenden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und der betrieblichen Anlagen zu vermeiden, ist es verboten,</w:t>
            </w:r>
          </w:p>
          <w:p w14:paraId="1066BCE7" w14:textId="26BB79C5" w:rsidR="001C63AF" w:rsidRPr="001C63AF" w:rsidRDefault="001C63AF" w:rsidP="001C63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im alkoholisierten bzw. berauschten Zustand in die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Dienststelle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zu kommen,</w:t>
            </w:r>
          </w:p>
          <w:p w14:paraId="5069A808" w14:textId="7B68E353" w:rsidR="001C63AF" w:rsidRPr="001C63AF" w:rsidRDefault="001C63AF" w:rsidP="001C63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alkoholische Getränke, </w:t>
            </w:r>
            <w:r w:rsidR="003C05AD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z</w:t>
            </w:r>
            <w:r w:rsidR="003C05AD">
              <w:rPr>
                <w:rFonts w:ascii="Calibri" w:hAnsi="Calibri" w:cs="Calibri"/>
                <w:color w:val="292526"/>
                <w:sz w:val="16"/>
                <w:szCs w:val="16"/>
              </w:rPr>
              <w:t>.</w:t>
            </w:r>
            <w:r w:rsidR="003C05AD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B</w:t>
            </w:r>
            <w:r w:rsidR="003C05AD">
              <w:rPr>
                <w:rFonts w:ascii="Calibri" w:hAnsi="Calibri" w:cs="Calibri"/>
                <w:color w:val="292526"/>
                <w:sz w:val="16"/>
                <w:szCs w:val="16"/>
              </w:rPr>
              <w:t>.</w:t>
            </w:r>
            <w:r w:rsidR="003C05AD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Bier oder Spirituosen, in die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Dienststelle</w:t>
            </w:r>
            <w:r w:rsidR="00E93AB6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mitzubringen,</w:t>
            </w:r>
          </w:p>
          <w:p w14:paraId="00602B01" w14:textId="31B2097A" w:rsidR="001C63AF" w:rsidRPr="001C63AF" w:rsidRDefault="001C63AF" w:rsidP="001C63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Alkohol und Cannabis in der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Dienststelle</w:t>
            </w:r>
            <w:r w:rsidR="00E93AB6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zu trinken, zu konsumieren oder zu verteilen.</w:t>
            </w:r>
          </w:p>
          <w:p w14:paraId="045E6EA7" w14:textId="2D194D47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Das Verbot besteht von Arbeitsbeginn bis Arbeitsende, einschließlich der Pausen innerhalb und außerhalb des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Geländes der Dienststelle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.</w:t>
            </w:r>
          </w:p>
          <w:p w14:paraId="4938F5ED" w14:textId="4646244D" w:rsidR="001C63AF" w:rsidRPr="001C63AF" w:rsidRDefault="00E93AB6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>
              <w:rPr>
                <w:rFonts w:ascii="Calibri" w:hAnsi="Calibri" w:cs="Calibri"/>
                <w:color w:val="292526"/>
                <w:sz w:val="16"/>
                <w:szCs w:val="16"/>
              </w:rPr>
              <w:t>Mitarbeitende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, die Alkohol und</w:t>
            </w:r>
            <w:r>
              <w:rPr>
                <w:rFonts w:ascii="Calibri" w:hAnsi="Calibri" w:cs="Calibri"/>
                <w:color w:val="292526"/>
                <w:sz w:val="16"/>
                <w:szCs w:val="16"/>
              </w:rPr>
              <w:t>/oder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Cannabis zu sich genommen haben, dürfen nicht beschäftigt werden. Für die Zeiten des alkohol- oder cannabisbedingten Arbeitsausfalls wird kein Arbeitsentgelt gezahlt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.</w:t>
            </w:r>
          </w:p>
          <w:p w14:paraId="293F5174" w14:textId="57EBB722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§ 3 Aufgaben des</w:t>
            </w:r>
            <w:r w:rsidR="00E93AB6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*der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 </w:t>
            </w:r>
            <w:r w:rsidR="00E93AB6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Dienstgebenden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, der </w:t>
            </w:r>
            <w:r w:rsidR="00214F5A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Vorgesetzten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 </w:t>
            </w:r>
          </w:p>
          <w:p w14:paraId="7D248622" w14:textId="01E5D381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*die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="00E93AB6">
              <w:rPr>
                <w:rFonts w:ascii="Calibri" w:hAnsi="Calibri" w:cs="Calibri"/>
                <w:color w:val="292526"/>
                <w:sz w:val="16"/>
                <w:szCs w:val="16"/>
              </w:rPr>
              <w:t>Dienstgebende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sowie alle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Mitarbeitenden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in Vorgesetztenfunktion sind angewiesen, jeglichen Alkohol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-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und Cannabisgenuss in der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Dienststelle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zu unterbinden. Wird ein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Mitarbeiter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in im alkoholisierten bzw. berauschten Zustand am Arbeitsplatz oder auf dem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Gelände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angetroffen, ist 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sie von seinem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ihrer Vorgesetzten vom Arbeitsplatz zu entfernen.</w:t>
            </w:r>
          </w:p>
          <w:p w14:paraId="63C1F175" w14:textId="77777777" w:rsidR="002F4CBA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Vorgesetzten haben darauf hinzuwirken, dass auch keine alkoholischen Getränke am Arbeitsplatz, in den Aufenthaltsräumen oder in Schränken verwahrt werden. Hierzu sind in begründeten Verdachtsfällen Stichproben zulässig.</w:t>
            </w:r>
            <w:r w:rsidR="002F4CB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</w:p>
          <w:p w14:paraId="792ED229" w14:textId="17319230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Alle Vorgesetzten haben in den Fällen, in denen ein begründeter Verdacht des Drogenkonsums besteht, die Pflicht, den/die unmittelbaren Vorgesetzten des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*der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betroffenen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Mitarbeitenden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zu informieren.</w:t>
            </w:r>
          </w:p>
          <w:p w14:paraId="144157CC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4 Verdachtsfälle und Beschäftigungsverbot </w:t>
            </w:r>
          </w:p>
          <w:p w14:paraId="29D1EBFA" w14:textId="49274798" w:rsidR="001C63AF" w:rsidRPr="001C63AF" w:rsidRDefault="00214F5A" w:rsidP="002F4CBA">
            <w:pPr>
              <w:pStyle w:val="Textkrper"/>
              <w:spacing w:line="276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Mitarbeitende</w:t>
            </w:r>
            <w:r w:rsidR="001C63AF" w:rsidRPr="001C63AF">
              <w:rPr>
                <w:rFonts w:ascii="Calibri" w:hAnsi="Calibri" w:cs="Calibri"/>
                <w:sz w:val="16"/>
                <w:szCs w:val="16"/>
              </w:rPr>
              <w:t>, die Alkohol oder Cannabis zu sich genommen haben oder bei denen ein begründeter Verdacht des Alkohol</w:t>
            </w:r>
            <w:r w:rsidR="00584BCD">
              <w:rPr>
                <w:rFonts w:ascii="Calibri" w:hAnsi="Calibri" w:cs="Calibri"/>
                <w:sz w:val="16"/>
                <w:szCs w:val="16"/>
              </w:rPr>
              <w:t>-</w:t>
            </w:r>
            <w:r w:rsidR="001C63AF" w:rsidRPr="001C63AF">
              <w:rPr>
                <w:rFonts w:ascii="Calibri" w:hAnsi="Calibri" w:cs="Calibri"/>
                <w:sz w:val="16"/>
                <w:szCs w:val="16"/>
              </w:rPr>
              <w:t xml:space="preserve"> und/oder Cannabiskonsums besteht, dürfen nicht beschäftigt werden. Sie sind von ihrem</w:t>
            </w:r>
            <w:r>
              <w:rPr>
                <w:rFonts w:ascii="Calibri" w:hAnsi="Calibri" w:cs="Calibri"/>
                <w:sz w:val="16"/>
                <w:szCs w:val="16"/>
              </w:rPr>
              <w:t>*</w:t>
            </w:r>
            <w:r w:rsidR="001C63AF" w:rsidRPr="001C63AF">
              <w:rPr>
                <w:rFonts w:ascii="Calibri" w:hAnsi="Calibri" w:cs="Calibri"/>
                <w:sz w:val="16"/>
                <w:szCs w:val="16"/>
              </w:rPr>
              <w:t>ihrer Vorgesetzten vom Arbeitsplatz zu entfernen.</w:t>
            </w:r>
          </w:p>
          <w:p w14:paraId="75569881" w14:textId="77777777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Ein begründeter Verdacht auf Drogenkonsum besteht vor allem bei</w:t>
            </w:r>
          </w:p>
          <w:p w14:paraId="16258008" w14:textId="77777777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starkem Alkoholgeruch (Alkoholfahne),</w:t>
            </w:r>
          </w:p>
          <w:p w14:paraId="37AD6D6D" w14:textId="77777777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unsicherem Gang,</w:t>
            </w:r>
          </w:p>
          <w:p w14:paraId="134BC31F" w14:textId="1A31512D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lallender Sprache</w:t>
            </w:r>
            <w:r w:rsidR="003C05AD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oder</w:t>
            </w:r>
          </w:p>
          <w:p w14:paraId="5C892B8A" w14:textId="68EFA226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anderen Verhaltensweisen, die einen Rückschluss auf einen Drogenkonsum zulassen oder dazu führen, dass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die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Mitarbeitende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zu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dem Zeitpunkt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nicht uneingeschränkt einsetzbar ist.</w:t>
            </w:r>
          </w:p>
          <w:p w14:paraId="75656763" w14:textId="4E6BF4E2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Sofern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die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Mitarbeitende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seine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ihre Arbeit nicht wieder kurzfristig aufnehmen kann, wird 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sie auf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eigene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Kosten nach Hause befördert.</w:t>
            </w:r>
            <w:r w:rsidR="002F4CB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unmittelbare Vorgesetzte des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*der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betroffenen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Mitarbeitenden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hat dafür Sorge zu tragen, dass sich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die angetrunkene/berauschte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Mitarbeitende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nicht ohne Begleitung auf dem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Gelände der Dienststelle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bewegt.</w:t>
            </w:r>
          </w:p>
          <w:p w14:paraId="4E3C46F0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5 Durchführung von Kontrollen </w:t>
            </w:r>
          </w:p>
          <w:p w14:paraId="797A3655" w14:textId="5B3871F5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Bei begründetem Verdacht einer Einschränkung der Arbeitsfähigkeit hat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betroffene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Mitarbeitende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die Pflicht, seinerseits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ihrerseits die Umstände seiner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ihrer Arbeitsfähigkeit bzw. Arbeitsunfähigkeit klären zu helfen.</w:t>
            </w:r>
          </w:p>
          <w:p w14:paraId="60835037" w14:textId="4110C724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Mitarbeite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unter Verdacht des Alkoholeinflusses können sich deshalb einem Alkoholtest unterziehen (Atem-Alkohol-Messgerät oder amtliche Blutentnahme mit Untersuchung auf Blutalkohol).</w:t>
            </w:r>
            <w:r w:rsidR="002F4CB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Die Blutentnahme darf nur auf Freiwilligenbasis bzw. über eine richterliche Anordnung erfolgen. Lehnt der*die Betroffene eine freiwillige Blutentnahme ab, darf er deswegen nicht sanktioniert werden.</w:t>
            </w:r>
          </w:p>
          <w:p w14:paraId="28A93934" w14:textId="4C2C850A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Mitarbeite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nde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kann verlangen, dass 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sie das Atem-Alkohol-Messgerät nur in Gegenwart eines Beamten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einer Beamtin des Gewerbeaufsichtsamts oder des Amts für Arbeitsschutz betätigt.</w:t>
            </w:r>
          </w:p>
          <w:p w14:paraId="7F0456F4" w14:textId="29CB6138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Erklärt sich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Mitarbeite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nde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zu einem Bluttest bereit, kann 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sie einen Arzt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oder eine Ärztin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der eigenen Wahl benennen. Benennt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die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Mitarbeitende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keinen eigenen Arzt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oder keine eigene Ärztin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,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*die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bereit ist, den Bluttest innerhalb von 30 Minuten durchzuführen, ist die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Einrichtung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berechtigt, einen Arzt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eine Ärztin nach ihrer Wahl zu bestimmen.</w:t>
            </w:r>
          </w:p>
          <w:p w14:paraId="6488D163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6 Arbeitsrechtliche Konsequenzen </w:t>
            </w:r>
          </w:p>
          <w:p w14:paraId="6FD5C1D1" w14:textId="6A88C294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Für die Zeit eines alkohol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-/drogen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bedingten Arbeitsausfalls wird kein Arbeitsentgelt gezahlt.</w:t>
            </w:r>
          </w:p>
          <w:p w14:paraId="76795C9E" w14:textId="6466C328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Bei einem Verstoß gegen diese 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Dienst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vereinbarung erhält der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Mitarbeite</w:t>
            </w:r>
            <w:r w:rsidR="00214F5A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nde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eine Abmahnung.</w:t>
            </w:r>
          </w:p>
          <w:p w14:paraId="28E3169B" w14:textId="65CD4D28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In schweren Fällen oder in Wiederholungsfällen kann dem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 Mitarbeite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nden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ordentlich fristgemäß oder außerordentlich fristlos gekündigt werden.</w:t>
            </w:r>
          </w:p>
          <w:p w14:paraId="7AF2AD07" w14:textId="3A9BBBFB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Darüber hinausgehende Schadenersatzansprüche des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*der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Dienstgebenden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für Schäden, die von dem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*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 Mitarbeite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nden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im alkoholisierten bzw. berauschten Zustand verursacht wurden, können daneben geltend gemacht werden.</w:t>
            </w:r>
          </w:p>
          <w:p w14:paraId="4AE4ED63" w14:textId="1B151756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§ 7 In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k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raft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t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reten und Kündigung</w:t>
            </w:r>
          </w:p>
          <w:p w14:paraId="4B73D4F1" w14:textId="41A53DC6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ind w:left="345" w:right="-193" w:hanging="345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Diese 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Dienst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vereinbarung tritt mit der Unterzeichnung in Kraft. Sie kann mit einer Frist von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  <w:t>(3)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Monaten zum Ende des Kalenderjahres schriftlich gekündigt werden, erstmals jedoch erst zum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  <w:t>(31.12.       )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. </w:t>
            </w:r>
          </w:p>
          <w:p w14:paraId="2F3E4EE8" w14:textId="46DBB452" w:rsidR="001C63AF" w:rsidRPr="001C63AF" w:rsidRDefault="001C63AF" w:rsidP="002F4CB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Ihre Bestimmungen gelten bis zum Abschluss einer neuen 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Dienst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vereinbarung weiter. Nach Eingang der Kündigung sind deshalb unverzüglich Verhandlungen über eine neue 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Dienst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vereinbarung aufzunehmen.</w:t>
            </w:r>
          </w:p>
          <w:p w14:paraId="0465D87A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  <w:t>(Ort, Datum)</w:t>
            </w:r>
          </w:p>
          <w:p w14:paraId="12B33F11" w14:textId="28FA64DE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Für die 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Einrichtungs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leitung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ab/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ab/>
              <w:t xml:space="preserve">Für </w:t>
            </w:r>
            <w:r w:rsidR="002945C9">
              <w:rPr>
                <w:rFonts w:ascii="Calibri" w:hAnsi="Calibri" w:cs="Calibri"/>
                <w:color w:val="292526"/>
                <w:sz w:val="16"/>
                <w:szCs w:val="16"/>
              </w:rPr>
              <w:t>die MAV</w:t>
            </w:r>
          </w:p>
        </w:tc>
      </w:tr>
    </w:tbl>
    <w:p w14:paraId="07230A01" w14:textId="77777777" w:rsidR="007A5896" w:rsidRDefault="007A5896" w:rsidP="002F4CBA"/>
    <w:sectPr w:rsidR="007A5896" w:rsidSect="000F67A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3756"/>
    <w:multiLevelType w:val="hybridMultilevel"/>
    <w:tmpl w:val="9B3E35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9272F"/>
    <w:multiLevelType w:val="hybridMultilevel"/>
    <w:tmpl w:val="9ADEB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D1E63"/>
    <w:multiLevelType w:val="hybridMultilevel"/>
    <w:tmpl w:val="7B82B43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94849"/>
    <w:multiLevelType w:val="hybridMultilevel"/>
    <w:tmpl w:val="55E4A1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30EC3"/>
    <w:multiLevelType w:val="hybridMultilevel"/>
    <w:tmpl w:val="919699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7E0550"/>
    <w:multiLevelType w:val="hybridMultilevel"/>
    <w:tmpl w:val="970AEE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903CA1"/>
    <w:multiLevelType w:val="hybridMultilevel"/>
    <w:tmpl w:val="6486D5E8"/>
    <w:lvl w:ilvl="0" w:tplc="0407000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num w:numId="1" w16cid:durableId="1237277416">
    <w:abstractNumId w:val="4"/>
  </w:num>
  <w:num w:numId="2" w16cid:durableId="2067951311">
    <w:abstractNumId w:val="6"/>
  </w:num>
  <w:num w:numId="3" w16cid:durableId="1195459282">
    <w:abstractNumId w:val="0"/>
  </w:num>
  <w:num w:numId="4" w16cid:durableId="1842741667">
    <w:abstractNumId w:val="5"/>
  </w:num>
  <w:num w:numId="5" w16cid:durableId="59377071">
    <w:abstractNumId w:val="3"/>
  </w:num>
  <w:num w:numId="6" w16cid:durableId="1408574876">
    <w:abstractNumId w:val="1"/>
  </w:num>
  <w:num w:numId="7" w16cid:durableId="102105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AF"/>
    <w:rsid w:val="000F67AA"/>
    <w:rsid w:val="00126313"/>
    <w:rsid w:val="001C63AF"/>
    <w:rsid w:val="00214F5A"/>
    <w:rsid w:val="002945C9"/>
    <w:rsid w:val="002F4CBA"/>
    <w:rsid w:val="00340290"/>
    <w:rsid w:val="003C05AD"/>
    <w:rsid w:val="00584BCD"/>
    <w:rsid w:val="00585EF7"/>
    <w:rsid w:val="007A5896"/>
    <w:rsid w:val="00830C1C"/>
    <w:rsid w:val="008D65FB"/>
    <w:rsid w:val="009F4E03"/>
    <w:rsid w:val="00AD4BA3"/>
    <w:rsid w:val="00B269C3"/>
    <w:rsid w:val="00D179AA"/>
    <w:rsid w:val="00E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68C"/>
  <w15:chartTrackingRefBased/>
  <w15:docId w15:val="{72FBC914-D979-4733-917D-59177B4F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3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C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3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3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3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3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3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3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3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3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3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3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3A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C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1C63AF"/>
    <w:pPr>
      <w:autoSpaceDE w:val="0"/>
      <w:autoSpaceDN w:val="0"/>
      <w:adjustRightInd w:val="0"/>
      <w:jc w:val="both"/>
    </w:pPr>
    <w:rPr>
      <w:rFonts w:ascii="Arial" w:hAnsi="Arial" w:cs="Arial"/>
      <w:color w:val="292526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1C63AF"/>
    <w:rPr>
      <w:rFonts w:ascii="Arial" w:eastAsia="Times New Roman" w:hAnsi="Arial" w:cs="Arial"/>
      <w:color w:val="292526"/>
      <w:kern w:val="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5AD"/>
    <w:rPr>
      <w:rFonts w:ascii="Segoe UI" w:eastAsia="Times New Roman" w:hAnsi="Segoe UI" w:cs="Segoe UI"/>
      <w:kern w:val="0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B269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1EB87-BA15-4F6D-9AC0-EB7047B43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2B60E-84CE-46D1-B15B-E27A40AF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CHn - Carolin Herrmann</cp:lastModifiedBy>
  <cp:revision>5</cp:revision>
  <dcterms:created xsi:type="dcterms:W3CDTF">2024-03-04T11:07:00Z</dcterms:created>
  <dcterms:modified xsi:type="dcterms:W3CDTF">2024-07-24T10:21:00Z</dcterms:modified>
</cp:coreProperties>
</file>