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A3B5" w14:textId="7DC38FF6" w:rsidR="00EA4C1B" w:rsidRDefault="00B867E2">
      <w:r>
        <w:t>UBRxI-8-2024-S.11</w:t>
      </w:r>
    </w:p>
    <w:p w14:paraId="322F4E2B" w14:textId="77777777" w:rsidR="00B867E2" w:rsidRDefault="00B867E2"/>
    <w:p w14:paraId="08819BA1" w14:textId="77777777" w:rsidR="00B867E2" w:rsidRPr="00F85C97" w:rsidRDefault="00B867E2" w:rsidP="00B867E2">
      <w:pPr>
        <w:rPr>
          <w:b/>
          <w:bCs/>
          <w:shd w:val="clear" w:color="auto" w:fill="FFFFFF"/>
        </w:rPr>
      </w:pPr>
      <w:r w:rsidRPr="00F85C97">
        <w:rPr>
          <w:b/>
          <w:bCs/>
          <w:shd w:val="clear" w:color="auto" w:fill="FFFFFF"/>
        </w:rPr>
        <w:t>Muster-Betriebsvereinbarung: Compliance</w:t>
      </w:r>
    </w:p>
    <w:p w14:paraId="6F3C1BC5" w14:textId="77777777" w:rsidR="00B867E2" w:rsidRPr="00F85C97" w:rsidRDefault="00B867E2" w:rsidP="00B867E2">
      <w:pPr>
        <w:rPr>
          <w:b/>
          <w:bCs/>
          <w:shd w:val="clear" w:color="auto" w:fill="FFFFFF"/>
        </w:rPr>
      </w:pPr>
    </w:p>
    <w:p w14:paraId="70023BD1" w14:textId="183962AE" w:rsidR="00B867E2" w:rsidRPr="00F85C97" w:rsidRDefault="00B867E2" w:rsidP="00B867E2">
      <w:pPr>
        <w:rPr>
          <w:shd w:val="clear" w:color="auto" w:fill="FFFFFF"/>
        </w:rPr>
      </w:pPr>
      <w:r w:rsidRPr="00F85C97">
        <w:rPr>
          <w:shd w:val="clear" w:color="auto" w:fill="FFFFFF"/>
        </w:rPr>
        <w:t>Zwischen dem Betriebsrat der …</w:t>
      </w:r>
      <w:r>
        <w:rPr>
          <w:shd w:val="clear" w:color="auto" w:fill="FFFFFF"/>
        </w:rPr>
        <w:t xml:space="preserve"> (Name des Unternehmens)</w:t>
      </w:r>
      <w:r w:rsidRPr="00F85C97">
        <w:rPr>
          <w:shd w:val="clear" w:color="auto" w:fill="FFFFFF"/>
        </w:rPr>
        <w:t xml:space="preserve"> und der Geschäftsführung</w:t>
      </w:r>
      <w:r>
        <w:rPr>
          <w:shd w:val="clear" w:color="auto" w:fill="FFFFFF"/>
        </w:rPr>
        <w:t xml:space="preserve"> der … (Name des Unternehmens) </w:t>
      </w:r>
      <w:r w:rsidRPr="00F85C97">
        <w:rPr>
          <w:shd w:val="clear" w:color="auto" w:fill="FFFFFF"/>
        </w:rPr>
        <w:t>wird folgende Betriebsvereinbarung geschlossen:</w:t>
      </w:r>
    </w:p>
    <w:p w14:paraId="20BDA64E" w14:textId="77777777" w:rsidR="00B867E2" w:rsidRDefault="00B867E2" w:rsidP="00B867E2">
      <w:pPr>
        <w:rPr>
          <w:shd w:val="clear" w:color="auto" w:fill="FFFFFF"/>
        </w:rPr>
      </w:pPr>
    </w:p>
    <w:p w14:paraId="26A1CF09" w14:textId="77777777" w:rsidR="00B867E2" w:rsidRPr="00F85C97" w:rsidRDefault="00B867E2" w:rsidP="00B867E2">
      <w:pPr>
        <w:rPr>
          <w:b/>
          <w:bCs/>
          <w:shd w:val="clear" w:color="auto" w:fill="FFFFFF"/>
        </w:rPr>
      </w:pPr>
      <w:r w:rsidRPr="00F85C97">
        <w:rPr>
          <w:b/>
          <w:bCs/>
          <w:shd w:val="clear" w:color="auto" w:fill="FFFFFF"/>
        </w:rPr>
        <w:t>Präambel</w:t>
      </w:r>
    </w:p>
    <w:p w14:paraId="289057CD" w14:textId="77777777" w:rsidR="00B867E2" w:rsidRDefault="00B867E2" w:rsidP="00B867E2">
      <w:pPr>
        <w:rPr>
          <w:shd w:val="clear" w:color="auto" w:fill="FFFFFF"/>
        </w:rPr>
      </w:pPr>
      <w:r>
        <w:rPr>
          <w:shd w:val="clear" w:color="auto" w:fill="FFFFFF"/>
        </w:rPr>
        <w:t xml:space="preserve">Unter Compliance ist die Einhaltung der gesetzlichen Vorschriften und unternehmensinterner Richtlinien zu verstehen. Die immer komplexer werdenden gesetzlichen und regulatorischen Rahmenbedingungen führten dazu, dass das Thema Compliance erheblich an Bedeutung gewonnen hat. Der wirtschaftliche Erfolg eines Unternehmens kann durch Compliance-Verstöße erheblichen Schaden nehmen. Deshalb sind risikoorientierte und präventive Compliance-Maßnahmen von besonderer Bedeutung. </w:t>
      </w:r>
    </w:p>
    <w:p w14:paraId="44850A8C" w14:textId="7FFCF136" w:rsidR="00B867E2" w:rsidRDefault="00B867E2" w:rsidP="00B867E2">
      <w:pPr>
        <w:rPr>
          <w:shd w:val="clear" w:color="auto" w:fill="FFFFFF"/>
        </w:rPr>
      </w:pPr>
      <w:r>
        <w:rPr>
          <w:shd w:val="clear" w:color="auto" w:fill="FFFFFF"/>
        </w:rPr>
        <w:t>Ziel ist es, die strikte Einhaltung gesetzlicher Vorschriften und unternehmensinterner Regeln zu einem integralen Bestand</w:t>
      </w:r>
      <w:r w:rsidR="00EF251B">
        <w:rPr>
          <w:shd w:val="clear" w:color="auto" w:fill="FFFFFF"/>
        </w:rPr>
        <w:t>teil</w:t>
      </w:r>
      <w:r>
        <w:rPr>
          <w:shd w:val="clear" w:color="auto" w:fill="FFFFFF"/>
        </w:rPr>
        <w:t xml:space="preserve"> des Denkens und Handelns aller Organe, Führungskräfte und Beschäftigten des Unternehmens zu machen.</w:t>
      </w:r>
    </w:p>
    <w:p w14:paraId="3EF263BE" w14:textId="77777777" w:rsidR="00B867E2" w:rsidRDefault="00B867E2" w:rsidP="00B867E2">
      <w:pPr>
        <w:rPr>
          <w:shd w:val="clear" w:color="auto" w:fill="FFFFFF"/>
        </w:rPr>
      </w:pPr>
    </w:p>
    <w:p w14:paraId="73E9436A" w14:textId="77777777" w:rsidR="00B867E2" w:rsidRPr="00F85C97" w:rsidRDefault="00B867E2" w:rsidP="00B867E2">
      <w:pPr>
        <w:rPr>
          <w:b/>
          <w:bCs/>
          <w:shd w:val="clear" w:color="auto" w:fill="FFFFFF"/>
        </w:rPr>
      </w:pPr>
      <w:r w:rsidRPr="00F85C97">
        <w:rPr>
          <w:b/>
          <w:bCs/>
          <w:shd w:val="clear" w:color="auto" w:fill="FFFFFF"/>
        </w:rPr>
        <w:t>§ 1 Geltungsbereich</w:t>
      </w:r>
    </w:p>
    <w:p w14:paraId="56CC4014" w14:textId="77777777" w:rsidR="00B867E2" w:rsidRDefault="00B867E2" w:rsidP="00B867E2">
      <w:pPr>
        <w:rPr>
          <w:shd w:val="clear" w:color="auto" w:fill="FFFFFF"/>
        </w:rPr>
      </w:pPr>
      <w:r>
        <w:rPr>
          <w:shd w:val="clear" w:color="auto" w:fill="FFFFFF"/>
        </w:rPr>
        <w:t>Die Compliance-Richtlinien gelten für alle Beschäftigten des Unternehmens.</w:t>
      </w:r>
    </w:p>
    <w:p w14:paraId="74C321CB" w14:textId="77777777" w:rsidR="00B867E2" w:rsidRDefault="00B867E2" w:rsidP="00B867E2">
      <w:pPr>
        <w:rPr>
          <w:shd w:val="clear" w:color="auto" w:fill="FFFFFF"/>
        </w:rPr>
      </w:pPr>
    </w:p>
    <w:p w14:paraId="7CF4637A" w14:textId="77777777" w:rsidR="00B867E2" w:rsidRPr="00F85C97" w:rsidRDefault="00B867E2" w:rsidP="00B867E2">
      <w:pPr>
        <w:rPr>
          <w:b/>
          <w:bCs/>
          <w:shd w:val="clear" w:color="auto" w:fill="FFFFFF"/>
        </w:rPr>
      </w:pPr>
      <w:r w:rsidRPr="00F85C97">
        <w:rPr>
          <w:b/>
          <w:bCs/>
          <w:shd w:val="clear" w:color="auto" w:fill="FFFFFF"/>
        </w:rPr>
        <w:t>§ 2 Grundsätze</w:t>
      </w:r>
    </w:p>
    <w:p w14:paraId="46992D64" w14:textId="77777777" w:rsidR="00B867E2" w:rsidRDefault="00B867E2" w:rsidP="00B867E2">
      <w:pPr>
        <w:rPr>
          <w:shd w:val="clear" w:color="auto" w:fill="FFFFFF"/>
        </w:rPr>
      </w:pPr>
      <w:r>
        <w:rPr>
          <w:shd w:val="clear" w:color="auto" w:fill="FFFFFF"/>
        </w:rPr>
        <w:t xml:space="preserve">Alle Beschäftigten sind verpflichtet, die geltenden gesetzlichen und behördlichen Vorschriften zu beachten. Gleiches gilt für sämtliche interne Regelungen. Verstöße gegen gesetzliche und behördliche Vorschriften oder gegen interne Richtlinien etc. können arbeitsrechtliche Maßnahmen und Sanktionen nach sich ziehen. </w:t>
      </w:r>
    </w:p>
    <w:p w14:paraId="7D6F28B8" w14:textId="77777777" w:rsidR="00B867E2" w:rsidRDefault="00B867E2" w:rsidP="00B867E2">
      <w:pPr>
        <w:rPr>
          <w:shd w:val="clear" w:color="auto" w:fill="FFFFFF"/>
        </w:rPr>
      </w:pPr>
    </w:p>
    <w:p w14:paraId="2C7A216B" w14:textId="77777777" w:rsidR="00B867E2" w:rsidRPr="00F85C97" w:rsidRDefault="00B867E2" w:rsidP="00B867E2">
      <w:pPr>
        <w:rPr>
          <w:b/>
          <w:bCs/>
          <w:shd w:val="clear" w:color="auto" w:fill="FFFFFF"/>
        </w:rPr>
      </w:pPr>
      <w:r w:rsidRPr="00F85C97">
        <w:rPr>
          <w:b/>
          <w:bCs/>
          <w:shd w:val="clear" w:color="auto" w:fill="FFFFFF"/>
        </w:rPr>
        <w:t>§ 3 Verbot der Diskriminierung</w:t>
      </w:r>
    </w:p>
    <w:p w14:paraId="6460C209" w14:textId="77777777" w:rsidR="00B867E2" w:rsidRDefault="00B867E2" w:rsidP="00B867E2">
      <w:pPr>
        <w:rPr>
          <w:shd w:val="clear" w:color="auto" w:fill="FFFFFF"/>
        </w:rPr>
      </w:pPr>
      <w:r>
        <w:rPr>
          <w:shd w:val="clear" w:color="auto" w:fill="FFFFFF"/>
        </w:rPr>
        <w:t xml:space="preserve">Sämtliche Kunden, Geschäftspartner und andere Dritte sind fair und respektvoll zu behandeln. Ziel ist es zudem, dass das Miteinander der Beschäftigten von Fairness, Loyalität und gegenseitigem Respekt gekennzeichnet ist. Die persönliche Würde, die Privatsphäre und die Persönlichkeitsrechte jedes Einzelnen sind zu achten. </w:t>
      </w:r>
    </w:p>
    <w:p w14:paraId="6F00CE00" w14:textId="77777777" w:rsidR="00B867E2" w:rsidRDefault="00B867E2" w:rsidP="00B867E2">
      <w:pPr>
        <w:rPr>
          <w:shd w:val="clear" w:color="auto" w:fill="FFFFFF"/>
        </w:rPr>
      </w:pPr>
      <w:r>
        <w:rPr>
          <w:shd w:val="clear" w:color="auto" w:fill="FFFFFF"/>
        </w:rPr>
        <w:t>Alle Beschäftigten sollen genauso wie alle Kunden, alle Geschäftspartner und sonstigen Externen für ihre individuellen Fähigkeiten und Beiträge respektiert werden.</w:t>
      </w:r>
    </w:p>
    <w:p w14:paraId="0CEBC413" w14:textId="77777777" w:rsidR="00B867E2" w:rsidRDefault="00B867E2" w:rsidP="00B867E2">
      <w:pPr>
        <w:rPr>
          <w:shd w:val="clear" w:color="auto" w:fill="FFFFFF"/>
        </w:rPr>
      </w:pPr>
    </w:p>
    <w:p w14:paraId="4BCDB9EF" w14:textId="77777777" w:rsidR="00B867E2" w:rsidRPr="00F85C97" w:rsidRDefault="00B867E2" w:rsidP="00B867E2">
      <w:pPr>
        <w:rPr>
          <w:b/>
          <w:bCs/>
          <w:shd w:val="clear" w:color="auto" w:fill="FFFFFF"/>
        </w:rPr>
      </w:pPr>
      <w:r w:rsidRPr="00F85C97">
        <w:rPr>
          <w:b/>
          <w:bCs/>
          <w:shd w:val="clear" w:color="auto" w:fill="FFFFFF"/>
        </w:rPr>
        <w:t>§ 4 Qualität von Dienstleistungen</w:t>
      </w:r>
    </w:p>
    <w:p w14:paraId="2E62E609" w14:textId="030B6EAC" w:rsidR="00B867E2" w:rsidRDefault="00B867E2" w:rsidP="00B867E2">
      <w:pPr>
        <w:rPr>
          <w:shd w:val="clear" w:color="auto" w:fill="FFFFFF"/>
        </w:rPr>
      </w:pPr>
      <w:r>
        <w:rPr>
          <w:shd w:val="clear" w:color="auto" w:fill="FFFFFF"/>
        </w:rPr>
        <w:t xml:space="preserve">Die Qualität und Sicherheit der Leistungen des Unternehmens </w:t>
      </w:r>
      <w:r w:rsidR="00EF251B">
        <w:rPr>
          <w:shd w:val="clear" w:color="auto" w:fill="FFFFFF"/>
        </w:rPr>
        <w:t>sind</w:t>
      </w:r>
      <w:r>
        <w:rPr>
          <w:shd w:val="clear" w:color="auto" w:fill="FFFFFF"/>
        </w:rPr>
        <w:t xml:space="preserve"> Grundlage des geschäft</w:t>
      </w:r>
      <w:r w:rsidR="00EF251B">
        <w:rPr>
          <w:shd w:val="clear" w:color="auto" w:fill="FFFFFF"/>
        </w:rPr>
        <w:t>lich</w:t>
      </w:r>
      <w:r>
        <w:rPr>
          <w:shd w:val="clear" w:color="auto" w:fill="FFFFFF"/>
        </w:rPr>
        <w:t>en Handelns. Alle Beschäftigten sind mitverantwortlich, dass diese Grundlagen im eigenen Verantwortungsbereich eingehalten werden. Gesetze und interne Richtlinien zu Sicherheit und Qualität sind einzuhalten.</w:t>
      </w:r>
    </w:p>
    <w:p w14:paraId="231FA370" w14:textId="77777777" w:rsidR="00B867E2" w:rsidRDefault="00B867E2" w:rsidP="00B867E2">
      <w:pPr>
        <w:rPr>
          <w:shd w:val="clear" w:color="auto" w:fill="FFFFFF"/>
        </w:rPr>
      </w:pPr>
    </w:p>
    <w:p w14:paraId="0FCDD40F" w14:textId="77777777" w:rsidR="00B867E2" w:rsidRPr="00F85C97" w:rsidRDefault="00B867E2" w:rsidP="00B867E2">
      <w:pPr>
        <w:rPr>
          <w:b/>
          <w:bCs/>
          <w:shd w:val="clear" w:color="auto" w:fill="FFFFFF"/>
        </w:rPr>
      </w:pPr>
      <w:r w:rsidRPr="00F85C97">
        <w:rPr>
          <w:b/>
          <w:bCs/>
          <w:shd w:val="clear" w:color="auto" w:fill="FFFFFF"/>
        </w:rPr>
        <w:t>§ 5 Sponsoring, Spenden und Zuwendungen ohne Gegenleistung</w:t>
      </w:r>
    </w:p>
    <w:p w14:paraId="664D0B27" w14:textId="77777777" w:rsidR="00B867E2" w:rsidRDefault="00B867E2" w:rsidP="00B867E2">
      <w:pPr>
        <w:rPr>
          <w:shd w:val="clear" w:color="auto" w:fill="FFFFFF"/>
        </w:rPr>
      </w:pPr>
      <w:r>
        <w:rPr>
          <w:shd w:val="clear" w:color="auto" w:fill="FFFFFF"/>
        </w:rPr>
        <w:t xml:space="preserve">Es gelten einheitliche Richtlinien für Zuwendungen im Rahmen von Spenden, Sponsoring und Mitgliedschaften sowie für andere Zuwendungen ohne Gegenleistung. Ziel dieser Regelung ist eine klare Trennung der Geschäftsaktivitäten von Marketing und sonstigen Aktivitäten. </w:t>
      </w:r>
    </w:p>
    <w:p w14:paraId="34B1D0DA" w14:textId="77777777" w:rsidR="00B867E2" w:rsidRDefault="00B867E2" w:rsidP="00B867E2">
      <w:pPr>
        <w:rPr>
          <w:shd w:val="clear" w:color="auto" w:fill="FFFFFF"/>
        </w:rPr>
      </w:pPr>
    </w:p>
    <w:p w14:paraId="24A61470" w14:textId="77777777" w:rsidR="00B867E2" w:rsidRDefault="00B867E2" w:rsidP="00B867E2">
      <w:pPr>
        <w:rPr>
          <w:shd w:val="clear" w:color="auto" w:fill="FFFFFF"/>
        </w:rPr>
      </w:pPr>
      <w:r>
        <w:rPr>
          <w:shd w:val="clear" w:color="auto" w:fill="FFFFFF"/>
        </w:rPr>
        <w:lastRenderedPageBreak/>
        <w:t>Folgendes gilt für den Betrieb grundsätzlich:</w:t>
      </w:r>
    </w:p>
    <w:p w14:paraId="126ACCFB" w14:textId="77777777" w:rsidR="00B867E2" w:rsidRDefault="00B867E2" w:rsidP="00B867E2">
      <w:pPr>
        <w:pStyle w:val="Listenabsatz"/>
        <w:numPr>
          <w:ilvl w:val="0"/>
          <w:numId w:val="1"/>
        </w:numPr>
        <w:rPr>
          <w:shd w:val="clear" w:color="auto" w:fill="FFFFFF"/>
        </w:rPr>
      </w:pPr>
      <w:r>
        <w:rPr>
          <w:shd w:val="clear" w:color="auto" w:fill="FFFFFF"/>
        </w:rPr>
        <w:t>Spenden und andere Zuwendungen an politische oder religiöse Vereinigungen sind nicht erlaubt,</w:t>
      </w:r>
    </w:p>
    <w:p w14:paraId="264666D1" w14:textId="77777777" w:rsidR="00B867E2" w:rsidRDefault="00B867E2" w:rsidP="00B867E2">
      <w:pPr>
        <w:pStyle w:val="Listenabsatz"/>
        <w:numPr>
          <w:ilvl w:val="0"/>
          <w:numId w:val="1"/>
        </w:numPr>
        <w:rPr>
          <w:shd w:val="clear" w:color="auto" w:fill="FFFFFF"/>
        </w:rPr>
      </w:pPr>
      <w:r>
        <w:rPr>
          <w:shd w:val="clear" w:color="auto" w:fill="FFFFFF"/>
        </w:rPr>
        <w:t>auch Zuwendungen, die dem Betrieb einen unangemessenen Wettbewerbsvorteil einräumen, sind nicht erlaubt,</w:t>
      </w:r>
    </w:p>
    <w:p w14:paraId="75E32B27" w14:textId="77777777" w:rsidR="00B867E2" w:rsidRDefault="00B867E2" w:rsidP="00B867E2">
      <w:pPr>
        <w:pStyle w:val="Listenabsatz"/>
        <w:numPr>
          <w:ilvl w:val="0"/>
          <w:numId w:val="1"/>
        </w:numPr>
        <w:rPr>
          <w:shd w:val="clear" w:color="auto" w:fill="FFFFFF"/>
        </w:rPr>
      </w:pPr>
      <w:r>
        <w:rPr>
          <w:shd w:val="clear" w:color="auto" w:fill="FFFFFF"/>
        </w:rPr>
        <w:t>Spenden und Zuwendungen werden nur an Organisationen getätigt, die mit den Werten und Prinzipien des Unternehmens übereinstimmen.</w:t>
      </w:r>
    </w:p>
    <w:p w14:paraId="26FB5F18" w14:textId="77777777" w:rsidR="00B867E2" w:rsidRDefault="00B867E2" w:rsidP="00B867E2">
      <w:pPr>
        <w:rPr>
          <w:shd w:val="clear" w:color="auto" w:fill="FFFFFF"/>
        </w:rPr>
      </w:pPr>
    </w:p>
    <w:p w14:paraId="147BF32A" w14:textId="77777777" w:rsidR="00B867E2" w:rsidRPr="00F85C97" w:rsidRDefault="00B867E2" w:rsidP="00B867E2">
      <w:pPr>
        <w:rPr>
          <w:b/>
          <w:bCs/>
          <w:shd w:val="clear" w:color="auto" w:fill="FFFFFF"/>
        </w:rPr>
      </w:pPr>
      <w:r w:rsidRPr="00F85C97">
        <w:rPr>
          <w:b/>
          <w:bCs/>
          <w:shd w:val="clear" w:color="auto" w:fill="FFFFFF"/>
        </w:rPr>
        <w:t>§ 6 Geschenke</w:t>
      </w:r>
    </w:p>
    <w:p w14:paraId="722C44C2" w14:textId="77777777" w:rsidR="00B867E2" w:rsidRDefault="00B867E2" w:rsidP="00B867E2">
      <w:pPr>
        <w:rPr>
          <w:shd w:val="clear" w:color="auto" w:fill="FFFFFF"/>
        </w:rPr>
      </w:pPr>
      <w:r>
        <w:rPr>
          <w:shd w:val="clear" w:color="auto" w:fill="FFFFFF"/>
        </w:rPr>
        <w:t>Höflichkeitsgeschenke dürfen einen Höchstbetrag von … € nicht überschreiten. Jegliche solcher Zuwendungen müssen in transparenter Weise gewährt oder angenommen werden. Sie müssen nach außen erkennbar und nachprüfbar sein. Eine derartige Zuwendung darf nicht als Gegenleistung für einen unrechtmäßigen Vorteil angeboten oder angenommen werden. Geldgeschenke sind genauso wie ein entsprechendes Äquivalent grundsätzlich verboten.</w:t>
      </w:r>
    </w:p>
    <w:p w14:paraId="2756B0A7" w14:textId="77777777" w:rsidR="00B867E2" w:rsidRDefault="00B867E2" w:rsidP="00B867E2">
      <w:pPr>
        <w:rPr>
          <w:shd w:val="clear" w:color="auto" w:fill="FFFFFF"/>
        </w:rPr>
      </w:pPr>
    </w:p>
    <w:p w14:paraId="43C3B8FB" w14:textId="77777777" w:rsidR="00B867E2" w:rsidRPr="00F85C97" w:rsidRDefault="00B867E2" w:rsidP="00B867E2">
      <w:pPr>
        <w:rPr>
          <w:b/>
          <w:bCs/>
          <w:shd w:val="clear" w:color="auto" w:fill="FFFFFF"/>
        </w:rPr>
      </w:pPr>
      <w:r w:rsidRPr="00F85C97">
        <w:rPr>
          <w:b/>
          <w:bCs/>
          <w:shd w:val="clear" w:color="auto" w:fill="FFFFFF"/>
        </w:rPr>
        <w:t>§ 7 Einladungen</w:t>
      </w:r>
    </w:p>
    <w:p w14:paraId="469C4582" w14:textId="77777777" w:rsidR="00B867E2" w:rsidRDefault="00B867E2" w:rsidP="00B867E2">
      <w:pPr>
        <w:rPr>
          <w:shd w:val="clear" w:color="auto" w:fill="FFFFFF"/>
        </w:rPr>
      </w:pPr>
      <w:r>
        <w:rPr>
          <w:shd w:val="clear" w:color="auto" w:fill="FFFFFF"/>
        </w:rPr>
        <w:t xml:space="preserve">Die Annahme von Einladungen zu Geschäftsessen ist im Rahmen angemessener und üblicher Geschäftsgepflogenheiten möglich. </w:t>
      </w:r>
    </w:p>
    <w:p w14:paraId="74235B46" w14:textId="77777777" w:rsidR="00B867E2" w:rsidRDefault="00B867E2" w:rsidP="00B867E2">
      <w:pPr>
        <w:rPr>
          <w:shd w:val="clear" w:color="auto" w:fill="FFFFFF"/>
        </w:rPr>
      </w:pPr>
      <w:r>
        <w:rPr>
          <w:shd w:val="clear" w:color="auto" w:fill="FFFFFF"/>
        </w:rPr>
        <w:t xml:space="preserve">Die Teilnahme an einer unentgeltlichen Veranstaltung Externer ist bei betrieblicher Veranlassung zulässig. Dabei ist darauf zu achten, dass der betriebliche Zweck überwiegt. </w:t>
      </w:r>
    </w:p>
    <w:p w14:paraId="0B717E79" w14:textId="4AA02251" w:rsidR="00B867E2" w:rsidRDefault="00B867E2" w:rsidP="00B867E2">
      <w:pPr>
        <w:rPr>
          <w:shd w:val="clear" w:color="auto" w:fill="FFFFFF"/>
        </w:rPr>
      </w:pPr>
      <w:r>
        <w:rPr>
          <w:shd w:val="clear" w:color="auto" w:fill="FFFFFF"/>
        </w:rPr>
        <w:t xml:space="preserve">Die Teilnahme an Veranstaltungen ohne Geschäftscharakter sowie etwaige Zusatzkosten, die für eventuelle Begleitpersonen entstehen, </w:t>
      </w:r>
      <w:r w:rsidR="00EF251B">
        <w:rPr>
          <w:shd w:val="clear" w:color="auto" w:fill="FFFFFF"/>
        </w:rPr>
        <w:t>sind</w:t>
      </w:r>
      <w:r>
        <w:rPr>
          <w:shd w:val="clear" w:color="auto" w:fill="FFFFFF"/>
        </w:rPr>
        <w:t xml:space="preserve"> grundsätzlich privat zu zahlen.</w:t>
      </w:r>
    </w:p>
    <w:p w14:paraId="1C0DACF8" w14:textId="77777777" w:rsidR="00B867E2" w:rsidRDefault="00B867E2" w:rsidP="00B867E2">
      <w:pPr>
        <w:rPr>
          <w:shd w:val="clear" w:color="auto" w:fill="FFFFFF"/>
        </w:rPr>
      </w:pPr>
    </w:p>
    <w:p w14:paraId="53B164BC" w14:textId="77777777" w:rsidR="00B867E2" w:rsidRPr="00F85C97" w:rsidRDefault="00B867E2" w:rsidP="00B867E2">
      <w:pPr>
        <w:rPr>
          <w:b/>
          <w:bCs/>
          <w:shd w:val="clear" w:color="auto" w:fill="FFFFFF"/>
        </w:rPr>
      </w:pPr>
      <w:r w:rsidRPr="00F85C97">
        <w:rPr>
          <w:b/>
          <w:bCs/>
          <w:shd w:val="clear" w:color="auto" w:fill="FFFFFF"/>
        </w:rPr>
        <w:t>§ 8 Vermeidung von Korruption</w:t>
      </w:r>
    </w:p>
    <w:p w14:paraId="57725471" w14:textId="77777777" w:rsidR="00B867E2" w:rsidRDefault="00B867E2" w:rsidP="00B867E2">
      <w:pPr>
        <w:rPr>
          <w:shd w:val="clear" w:color="auto" w:fill="FFFFFF"/>
        </w:rPr>
      </w:pPr>
      <w:r>
        <w:rPr>
          <w:shd w:val="clear" w:color="auto" w:fill="FFFFFF"/>
        </w:rPr>
        <w:t>Dritten dürfen im Zusammenhang mit einer geschäftlichen Tätigkeit weder direkt noch indirekt unberechtigte Vorteile in Form von Geldzahlungen oder anderen Leistungen angeboten werden oder gewährt werden. Alle Beschäftigten sind gehalten, bereits jeglichen Anschein von Unredlichkeit zu vermeiden und im Zweifel zu melden.</w:t>
      </w:r>
    </w:p>
    <w:p w14:paraId="581E4C37" w14:textId="58374CBF" w:rsidR="00B867E2" w:rsidRDefault="00B867E2" w:rsidP="00B867E2">
      <w:pPr>
        <w:rPr>
          <w:shd w:val="clear" w:color="auto" w:fill="FFFFFF"/>
        </w:rPr>
      </w:pPr>
      <w:r>
        <w:rPr>
          <w:shd w:val="clear" w:color="auto" w:fill="FFFFFF"/>
        </w:rPr>
        <w:t>Die Beschäftigten dürfen Vergünstigungen in Form von Preisnachl</w:t>
      </w:r>
      <w:r w:rsidR="00EF251B">
        <w:rPr>
          <w:shd w:val="clear" w:color="auto" w:fill="FFFFFF"/>
        </w:rPr>
        <w:t>ä</w:t>
      </w:r>
      <w:r>
        <w:rPr>
          <w:shd w:val="clear" w:color="auto" w:fill="FFFFFF"/>
        </w:rPr>
        <w:t xml:space="preserve">ssen und Provisionen weder fordern noch annehmen. </w:t>
      </w:r>
    </w:p>
    <w:p w14:paraId="1D5EB9AB" w14:textId="77777777" w:rsidR="00B867E2" w:rsidRDefault="00B867E2" w:rsidP="00B867E2">
      <w:pPr>
        <w:rPr>
          <w:shd w:val="clear" w:color="auto" w:fill="FFFFFF"/>
        </w:rPr>
      </w:pPr>
    </w:p>
    <w:p w14:paraId="560586DF" w14:textId="77777777" w:rsidR="00B867E2" w:rsidRPr="00F85C97" w:rsidRDefault="00B867E2" w:rsidP="00B867E2">
      <w:pPr>
        <w:rPr>
          <w:b/>
          <w:bCs/>
          <w:shd w:val="clear" w:color="auto" w:fill="FFFFFF"/>
        </w:rPr>
      </w:pPr>
      <w:r w:rsidRPr="00F85C97">
        <w:rPr>
          <w:b/>
          <w:bCs/>
          <w:shd w:val="clear" w:color="auto" w:fill="FFFFFF"/>
        </w:rPr>
        <w:t>§ 9 Meldung von Compliance-Verstößen</w:t>
      </w:r>
    </w:p>
    <w:p w14:paraId="2D140A3B" w14:textId="1D6D3326" w:rsidR="00B867E2" w:rsidRDefault="00B867E2" w:rsidP="00B867E2">
      <w:pPr>
        <w:rPr>
          <w:shd w:val="clear" w:color="auto" w:fill="FFFFFF"/>
        </w:rPr>
      </w:pPr>
      <w:r>
        <w:rPr>
          <w:shd w:val="clear" w:color="auto" w:fill="FFFFFF"/>
        </w:rPr>
        <w:t>Die Beschäftigten melden der Geschäftsführung Compliance-Verstöße</w:t>
      </w:r>
      <w:r w:rsidR="00EF251B">
        <w:rPr>
          <w:shd w:val="clear" w:color="auto" w:fill="FFFFFF"/>
        </w:rPr>
        <w:t>,</w:t>
      </w:r>
      <w:r>
        <w:rPr>
          <w:shd w:val="clear" w:color="auto" w:fill="FFFFFF"/>
        </w:rPr>
        <w:t xml:space="preserve"> von denen sie erfahren. Etwaige Hinweise auf ein Fehlverhalten können auf Wunsch au</w:t>
      </w:r>
      <w:r w:rsidR="00EF251B">
        <w:rPr>
          <w:shd w:val="clear" w:color="auto" w:fill="FFFFFF"/>
        </w:rPr>
        <w:t>ch</w:t>
      </w:r>
      <w:r>
        <w:rPr>
          <w:shd w:val="clear" w:color="auto" w:fill="FFFFFF"/>
        </w:rPr>
        <w:t xml:space="preserve"> anonym gemeldet werden. Bei einem Verdacht auf Vermögens- oder Korruptionsdelikte, wie beispielsweise Unterschlagung, Betrug, Untreue, Bestechung oder Bestechlichkeit</w:t>
      </w:r>
      <w:r w:rsidR="00EF251B">
        <w:rPr>
          <w:shd w:val="clear" w:color="auto" w:fill="FFFFFF"/>
        </w:rPr>
        <w:t>,</w:t>
      </w:r>
      <w:r>
        <w:rPr>
          <w:shd w:val="clear" w:color="auto" w:fill="FFFFFF"/>
        </w:rPr>
        <w:t xml:space="preserve"> im geschäftlichen Verkehr ist unverzüglich und unmittelbar der zuständige Compliance-Beauftragte zu unterrichten.</w:t>
      </w:r>
    </w:p>
    <w:p w14:paraId="74D93E84" w14:textId="77777777" w:rsidR="00B867E2" w:rsidRDefault="00B867E2" w:rsidP="00B867E2">
      <w:pPr>
        <w:rPr>
          <w:shd w:val="clear" w:color="auto" w:fill="FFFFFF"/>
        </w:rPr>
      </w:pPr>
    </w:p>
    <w:p w14:paraId="4D4039ED" w14:textId="77777777" w:rsidR="00B867E2" w:rsidRPr="001A7B9E" w:rsidRDefault="00B867E2" w:rsidP="00B867E2">
      <w:pPr>
        <w:rPr>
          <w:b/>
          <w:bCs/>
          <w:shd w:val="clear" w:color="auto" w:fill="FFFFFF"/>
        </w:rPr>
      </w:pPr>
      <w:r w:rsidRPr="001A7B9E">
        <w:rPr>
          <w:b/>
          <w:bCs/>
          <w:shd w:val="clear" w:color="auto" w:fill="FFFFFF"/>
        </w:rPr>
        <w:t>§ 10 Konsequenzen eines Compliance-Verstoßes</w:t>
      </w:r>
    </w:p>
    <w:p w14:paraId="33FB0932" w14:textId="77777777" w:rsidR="00B867E2" w:rsidRDefault="00B867E2" w:rsidP="00B867E2">
      <w:pPr>
        <w:rPr>
          <w:shd w:val="clear" w:color="auto" w:fill="FFFFFF"/>
        </w:rPr>
      </w:pPr>
      <w:r>
        <w:rPr>
          <w:shd w:val="clear" w:color="auto" w:fill="FFFFFF"/>
        </w:rPr>
        <w:t xml:space="preserve">Beschäftigte, die gegen die geltenden Compliance-Regeln verstoßen, riskieren disziplinarische Maßnahmen wegen der Verletzung ihrer arbeitsvertraglichen Pflichten. Je nach Schwere des Compliance-Verstoßes können folgende Maßnahmen zum Tragen kommen: Ermahnung, Abmahnung, Verlust von freiwilligen Entgeltbestandteilen, </w:t>
      </w:r>
      <w:r>
        <w:rPr>
          <w:shd w:val="clear" w:color="auto" w:fill="FFFFFF"/>
        </w:rPr>
        <w:lastRenderedPageBreak/>
        <w:t xml:space="preserve">Verlust variabler Entgeltbestandteile, Versetzung auf eine andere Position und Kündigung. </w:t>
      </w:r>
    </w:p>
    <w:p w14:paraId="409CA3AC" w14:textId="77777777" w:rsidR="00B867E2" w:rsidRDefault="00B867E2" w:rsidP="00B867E2">
      <w:pPr>
        <w:rPr>
          <w:shd w:val="clear" w:color="auto" w:fill="FFFFFF"/>
        </w:rPr>
      </w:pPr>
    </w:p>
    <w:p w14:paraId="543FD586" w14:textId="77777777" w:rsidR="00B867E2" w:rsidRPr="00D14E29" w:rsidRDefault="00B867E2" w:rsidP="00B867E2">
      <w:pPr>
        <w:rPr>
          <w:b/>
          <w:bCs/>
          <w:shd w:val="clear" w:color="auto" w:fill="FFFFFF"/>
        </w:rPr>
      </w:pPr>
      <w:r w:rsidRPr="00D14E29">
        <w:rPr>
          <w:b/>
          <w:bCs/>
          <w:shd w:val="clear" w:color="auto" w:fill="FFFFFF"/>
        </w:rPr>
        <w:t>§ 11 Schlussbestimmungen</w:t>
      </w:r>
    </w:p>
    <w:p w14:paraId="2FEF5FEE" w14:textId="75F9ABDB" w:rsidR="00B867E2" w:rsidRDefault="00B867E2" w:rsidP="00B867E2">
      <w:pPr>
        <w:rPr>
          <w:shd w:val="clear" w:color="auto" w:fill="FFFFFF"/>
        </w:rPr>
      </w:pPr>
      <w:r>
        <w:rPr>
          <w:shd w:val="clear" w:color="auto" w:fill="FFFFFF"/>
        </w:rPr>
        <w:t xml:space="preserve">Die Betriebsvereinbarung tritt mit Wirkung vom … in Kraft. Sie kann mit einer Frist von 3 Monaten zum Quartalsende gekündigt werden; frühestens jedoch zum … Im Falle einer Kündigung wirkt sie nach. </w:t>
      </w:r>
    </w:p>
    <w:p w14:paraId="0D3FF6AB" w14:textId="77777777" w:rsidR="00B867E2" w:rsidRDefault="00B867E2" w:rsidP="00B867E2">
      <w:pPr>
        <w:rPr>
          <w:shd w:val="clear" w:color="auto" w:fill="FFFFFF"/>
        </w:rPr>
      </w:pPr>
      <w:r>
        <w:rPr>
          <w:shd w:val="clear" w:color="auto" w:fill="FFFFFF"/>
        </w:rPr>
        <w:t xml:space="preserve">Sollte eine Klausel dieser Vereinbarung unwirksam sein, behalten die anderen Regelungen dieser Vereinbarung ihre Gültigkeit. </w:t>
      </w:r>
    </w:p>
    <w:p w14:paraId="69E6C35A" w14:textId="77777777" w:rsidR="00B867E2" w:rsidRDefault="00B867E2" w:rsidP="00B867E2">
      <w:pPr>
        <w:rPr>
          <w:shd w:val="clear" w:color="auto" w:fill="FFFFFF"/>
        </w:rPr>
      </w:pPr>
    </w:p>
    <w:p w14:paraId="54E14D9A" w14:textId="77777777" w:rsidR="00B867E2" w:rsidRPr="00DF00AC" w:rsidRDefault="00B867E2" w:rsidP="00B867E2">
      <w:pPr>
        <w:rPr>
          <w:shd w:val="clear" w:color="auto" w:fill="FFFFFF"/>
        </w:rPr>
      </w:pPr>
      <w:r>
        <w:rPr>
          <w:shd w:val="clear" w:color="auto" w:fill="FFFFFF"/>
        </w:rPr>
        <w:t>Ort, Datum, Unterschriften</w:t>
      </w:r>
    </w:p>
    <w:p w14:paraId="626AFB17" w14:textId="77777777" w:rsidR="00B867E2" w:rsidRDefault="00B867E2" w:rsidP="00B867E2"/>
    <w:p w14:paraId="51D23680" w14:textId="77777777" w:rsidR="00B867E2" w:rsidRDefault="00B867E2"/>
    <w:sectPr w:rsidR="00B867E2"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31B8D"/>
    <w:multiLevelType w:val="hybridMultilevel"/>
    <w:tmpl w:val="C01C6F7A"/>
    <w:lvl w:ilvl="0" w:tplc="EC2C1AE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474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E2"/>
    <w:rsid w:val="00153551"/>
    <w:rsid w:val="00520006"/>
    <w:rsid w:val="00664AAB"/>
    <w:rsid w:val="0094513C"/>
    <w:rsid w:val="00B867E2"/>
    <w:rsid w:val="00DD5993"/>
    <w:rsid w:val="00EA4C1B"/>
    <w:rsid w:val="00EF25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03AA2D7"/>
  <w15:chartTrackingRefBased/>
  <w15:docId w15:val="{F00AD1BE-1466-F549-992D-F27EBB23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86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86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867E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867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867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867E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867E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867E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867E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67E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867E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867E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867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867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867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67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867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67E2"/>
    <w:rPr>
      <w:rFonts w:eastAsiaTheme="majorEastAsia" w:cstheme="majorBidi"/>
      <w:color w:val="272727" w:themeColor="text1" w:themeTint="D8"/>
    </w:rPr>
  </w:style>
  <w:style w:type="paragraph" w:styleId="Titel">
    <w:name w:val="Title"/>
    <w:basedOn w:val="Standard"/>
    <w:next w:val="Standard"/>
    <w:link w:val="TitelZchn"/>
    <w:uiPriority w:val="10"/>
    <w:qFormat/>
    <w:rsid w:val="00B867E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67E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867E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867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867E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867E2"/>
    <w:rPr>
      <w:i/>
      <w:iCs/>
      <w:color w:val="404040" w:themeColor="text1" w:themeTint="BF"/>
    </w:rPr>
  </w:style>
  <w:style w:type="paragraph" w:styleId="Listenabsatz">
    <w:name w:val="List Paragraph"/>
    <w:basedOn w:val="Standard"/>
    <w:uiPriority w:val="34"/>
    <w:qFormat/>
    <w:rsid w:val="00B867E2"/>
    <w:pPr>
      <w:ind w:left="720"/>
      <w:contextualSpacing/>
    </w:pPr>
  </w:style>
  <w:style w:type="character" w:styleId="IntensiveHervorhebung">
    <w:name w:val="Intense Emphasis"/>
    <w:basedOn w:val="Absatz-Standardschriftart"/>
    <w:uiPriority w:val="21"/>
    <w:qFormat/>
    <w:rsid w:val="00B867E2"/>
    <w:rPr>
      <w:i/>
      <w:iCs/>
      <w:color w:val="0F4761" w:themeColor="accent1" w:themeShade="BF"/>
    </w:rPr>
  </w:style>
  <w:style w:type="paragraph" w:styleId="IntensivesZitat">
    <w:name w:val="Intense Quote"/>
    <w:basedOn w:val="Standard"/>
    <w:next w:val="Standard"/>
    <w:link w:val="IntensivesZitatZchn"/>
    <w:uiPriority w:val="30"/>
    <w:qFormat/>
    <w:rsid w:val="00B86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867E2"/>
    <w:rPr>
      <w:i/>
      <w:iCs/>
      <w:color w:val="0F4761" w:themeColor="accent1" w:themeShade="BF"/>
    </w:rPr>
  </w:style>
  <w:style w:type="character" w:styleId="IntensiverVerweis">
    <w:name w:val="Intense Reference"/>
    <w:basedOn w:val="Absatz-Standardschriftart"/>
    <w:uiPriority w:val="32"/>
    <w:qFormat/>
    <w:rsid w:val="00B867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83520-B744-45EA-9C27-F61E1D5056D3}"/>
</file>

<file path=customXml/itemProps2.xml><?xml version="1.0" encoding="utf-8"?>
<ds:datastoreItem xmlns:ds="http://schemas.openxmlformats.org/officeDocument/2006/customXml" ds:itemID="{2E4A6FEF-1DAD-4D95-8510-2706D9B7F200}"/>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4846</Characters>
  <Application>Microsoft Office Word</Application>
  <DocSecurity>0</DocSecurity>
  <Lines>40</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2024-07-04T07:11:00Z</dcterms:created>
  <dcterms:modified xsi:type="dcterms:W3CDTF">2024-07-04T07:15:00Z</dcterms:modified>
</cp:coreProperties>
</file>