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5B0F4" w14:textId="77777777" w:rsidR="00813759" w:rsidRPr="006C3C64" w:rsidRDefault="00813759" w:rsidP="00813759">
      <w:pPr>
        <w:rPr>
          <w:b/>
          <w:bCs/>
        </w:rPr>
      </w:pPr>
      <w:r w:rsidRPr="006C3C64">
        <w:rPr>
          <w:b/>
          <w:bCs/>
        </w:rPr>
        <w:t xml:space="preserve">Übersicht: Faktoren, die für die Bemessung </w:t>
      </w:r>
      <w:r>
        <w:rPr>
          <w:b/>
          <w:bCs/>
        </w:rPr>
        <w:t xml:space="preserve">der Höhe </w:t>
      </w:r>
      <w:r w:rsidRPr="006C3C64">
        <w:rPr>
          <w:b/>
          <w:bCs/>
        </w:rPr>
        <w:t>einer Abfindung eine Rolle spielen</w:t>
      </w:r>
    </w:p>
    <w:p w14:paraId="5272766D" w14:textId="77777777" w:rsidR="00813759" w:rsidRPr="006C3C64" w:rsidRDefault="00813759" w:rsidP="00813759">
      <w:pPr>
        <w:rPr>
          <w:b/>
          <w:bCs/>
        </w:rPr>
      </w:pPr>
    </w:p>
    <w:tbl>
      <w:tblPr>
        <w:tblStyle w:val="Tabellenraster"/>
        <w:tblW w:w="0" w:type="auto"/>
        <w:tblLook w:val="04A0" w:firstRow="1" w:lastRow="0" w:firstColumn="1" w:lastColumn="0" w:noHBand="0" w:noVBand="1"/>
      </w:tblPr>
      <w:tblGrid>
        <w:gridCol w:w="9056"/>
      </w:tblGrid>
      <w:tr w:rsidR="00813759" w14:paraId="13C7AFAB" w14:textId="77777777" w:rsidTr="00FF61A8">
        <w:tc>
          <w:tcPr>
            <w:tcW w:w="9056" w:type="dxa"/>
          </w:tcPr>
          <w:p w14:paraId="0C36221F" w14:textId="77777777" w:rsidR="00813759" w:rsidRDefault="00813759" w:rsidP="00FF61A8">
            <w:r>
              <w:t>Das Lebensalter</w:t>
            </w:r>
          </w:p>
        </w:tc>
      </w:tr>
      <w:tr w:rsidR="00813759" w14:paraId="2F5176C1" w14:textId="77777777" w:rsidTr="00FF61A8">
        <w:tc>
          <w:tcPr>
            <w:tcW w:w="9056" w:type="dxa"/>
          </w:tcPr>
          <w:p w14:paraId="6EAAF3A2" w14:textId="77777777" w:rsidR="00813759" w:rsidRDefault="00813759" w:rsidP="00FF61A8">
            <w:r>
              <w:t>Die Dauer der Beschäftigung</w:t>
            </w:r>
          </w:p>
        </w:tc>
      </w:tr>
      <w:tr w:rsidR="00813759" w14:paraId="7DA4C7DE" w14:textId="77777777" w:rsidTr="00FF61A8">
        <w:tc>
          <w:tcPr>
            <w:tcW w:w="9056" w:type="dxa"/>
          </w:tcPr>
          <w:p w14:paraId="634588FA" w14:textId="77777777" w:rsidR="00813759" w:rsidRDefault="00813759" w:rsidP="00FF61A8">
            <w:r>
              <w:t>Die sonstigen Lebensumstände, vor allem die Chancen auf dem Arbeitsmarkt sowie auch sonstige Sozialdaten, Familienstand, die Anzahl der unterhaltspflichtigen Personen und der Gesundheitszustand des oder der Betroffenen.</w:t>
            </w:r>
          </w:p>
        </w:tc>
      </w:tr>
      <w:tr w:rsidR="00813759" w14:paraId="1D6B4672" w14:textId="77777777" w:rsidTr="00FF61A8">
        <w:tc>
          <w:tcPr>
            <w:tcW w:w="9056" w:type="dxa"/>
          </w:tcPr>
          <w:p w14:paraId="359482D0" w14:textId="77777777" w:rsidR="00813759" w:rsidRDefault="00813759" w:rsidP="00FF61A8">
            <w:r>
              <w:t xml:space="preserve">Zudem spielt bei der Bemessung der Abfindung das Maß der Sozialwirtschaft eine Bedeutung. </w:t>
            </w:r>
          </w:p>
        </w:tc>
      </w:tr>
      <w:tr w:rsidR="00813759" w14:paraId="6B8C4177" w14:textId="77777777" w:rsidTr="00FF61A8">
        <w:tc>
          <w:tcPr>
            <w:tcW w:w="9056" w:type="dxa"/>
          </w:tcPr>
          <w:p w14:paraId="377A57EF" w14:textId="77777777" w:rsidR="00813759" w:rsidRDefault="00813759" w:rsidP="00FF61A8">
            <w:r>
              <w:t>Auch die wirtschaftliche Situation des Unternehmens kann bei der Bemessung der Abfindung berücksichtigt werden. Die Höhe der Abfindungszahlung darf nicht zu einer Gefährdung der Arbeitsplätze anderer Arbeitnehmer führen.</w:t>
            </w:r>
          </w:p>
        </w:tc>
      </w:tr>
    </w:tbl>
    <w:p w14:paraId="7EB863AB" w14:textId="77777777" w:rsidR="00813759" w:rsidRDefault="00813759" w:rsidP="00813759"/>
    <w:p w14:paraId="02D4977A" w14:textId="77777777" w:rsidR="00813759" w:rsidRDefault="00813759" w:rsidP="00813759">
      <w:r>
        <w:t>Die Gerichte lassen sich häufig von Regelabfindungen, also Abfindungen von einem halben Monatsgehalt pro Beschäftigungsjahr leiten. Betroffene sollten deshalb zunächst versuchen, sich mit ihrem Arbeitgebenden auf eine höhere Abfindung zu einigen. Maßgeblich ist am Ende das Verhandlungsgeschick Ihres Kollegen bzw. des Rechtsanwalts.</w:t>
      </w:r>
    </w:p>
    <w:p w14:paraId="6FDDE356" w14:textId="77777777" w:rsidR="00EA4C1B" w:rsidRDefault="00EA4C1B"/>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759"/>
    <w:rsid w:val="00153551"/>
    <w:rsid w:val="00664AAB"/>
    <w:rsid w:val="008133BA"/>
    <w:rsid w:val="00813759"/>
    <w:rsid w:val="00913F0A"/>
    <w:rsid w:val="0094513C"/>
    <w:rsid w:val="00D60103"/>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F11A7"/>
  <w15:chartTrackingRefBased/>
  <w15:docId w15:val="{994A86A2-483B-9240-887C-10F2BE11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13759"/>
  </w:style>
  <w:style w:type="paragraph" w:styleId="berschrift1">
    <w:name w:val="heading 1"/>
    <w:basedOn w:val="Standard"/>
    <w:next w:val="Standard"/>
    <w:link w:val="berschrift1Zchn"/>
    <w:uiPriority w:val="9"/>
    <w:qFormat/>
    <w:rsid w:val="008137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137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1375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1375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1375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1375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1375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1375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1375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1375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1375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1375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1375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1375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1375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1375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1375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13759"/>
    <w:rPr>
      <w:rFonts w:eastAsiaTheme="majorEastAsia" w:cstheme="majorBidi"/>
      <w:color w:val="272727" w:themeColor="text1" w:themeTint="D8"/>
    </w:rPr>
  </w:style>
  <w:style w:type="paragraph" w:styleId="Titel">
    <w:name w:val="Title"/>
    <w:basedOn w:val="Standard"/>
    <w:next w:val="Standard"/>
    <w:link w:val="TitelZchn"/>
    <w:uiPriority w:val="10"/>
    <w:qFormat/>
    <w:rsid w:val="0081375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1375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1375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1375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1375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13759"/>
    <w:rPr>
      <w:i/>
      <w:iCs/>
      <w:color w:val="404040" w:themeColor="text1" w:themeTint="BF"/>
    </w:rPr>
  </w:style>
  <w:style w:type="paragraph" w:styleId="Listenabsatz">
    <w:name w:val="List Paragraph"/>
    <w:basedOn w:val="Standard"/>
    <w:uiPriority w:val="34"/>
    <w:qFormat/>
    <w:rsid w:val="00813759"/>
    <w:pPr>
      <w:ind w:left="720"/>
      <w:contextualSpacing/>
    </w:pPr>
  </w:style>
  <w:style w:type="character" w:styleId="IntensiveHervorhebung">
    <w:name w:val="Intense Emphasis"/>
    <w:basedOn w:val="Absatz-Standardschriftart"/>
    <w:uiPriority w:val="21"/>
    <w:qFormat/>
    <w:rsid w:val="00813759"/>
    <w:rPr>
      <w:i/>
      <w:iCs/>
      <w:color w:val="0F4761" w:themeColor="accent1" w:themeShade="BF"/>
    </w:rPr>
  </w:style>
  <w:style w:type="paragraph" w:styleId="IntensivesZitat">
    <w:name w:val="Intense Quote"/>
    <w:basedOn w:val="Standard"/>
    <w:next w:val="Standard"/>
    <w:link w:val="IntensivesZitatZchn"/>
    <w:uiPriority w:val="30"/>
    <w:qFormat/>
    <w:rsid w:val="008137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13759"/>
    <w:rPr>
      <w:i/>
      <w:iCs/>
      <w:color w:val="0F4761" w:themeColor="accent1" w:themeShade="BF"/>
    </w:rPr>
  </w:style>
  <w:style w:type="character" w:styleId="IntensiverVerweis">
    <w:name w:val="Intense Reference"/>
    <w:basedOn w:val="Absatz-Standardschriftart"/>
    <w:uiPriority w:val="32"/>
    <w:qFormat/>
    <w:rsid w:val="00813759"/>
    <w:rPr>
      <w:b/>
      <w:bCs/>
      <w:smallCaps/>
      <w:color w:val="0F4761" w:themeColor="accent1" w:themeShade="BF"/>
      <w:spacing w:val="5"/>
    </w:rPr>
  </w:style>
  <w:style w:type="table" w:styleId="Tabellenraster">
    <w:name w:val="Table Grid"/>
    <w:basedOn w:val="NormaleTabelle"/>
    <w:uiPriority w:val="39"/>
    <w:rsid w:val="00813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868</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CHn - Carolin Herrmann</cp:lastModifiedBy>
  <cp:revision>2</cp:revision>
  <dcterms:created xsi:type="dcterms:W3CDTF">2024-09-30T14:59:00Z</dcterms:created>
  <dcterms:modified xsi:type="dcterms:W3CDTF">2024-10-24T12:22:00Z</dcterms:modified>
</cp:coreProperties>
</file>