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6233C" w14:textId="77777777" w:rsidR="00693BE0" w:rsidRPr="00693BE0" w:rsidRDefault="00693BE0" w:rsidP="00693BE0">
      <w:pPr>
        <w:pStyle w:val="EMF-Flietext"/>
        <w:rPr>
          <w:sz w:val="20"/>
          <w:szCs w:val="20"/>
        </w:rPr>
      </w:pPr>
    </w:p>
    <w:tbl>
      <w:tblPr>
        <w:tblStyle w:val="TableNormal"/>
        <w:tblW w:w="5549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67"/>
        <w:gridCol w:w="20"/>
      </w:tblGrid>
      <w:tr w:rsidR="00693BE0" w:rsidRPr="00693BE0" w14:paraId="43820380" w14:textId="77777777" w:rsidTr="00693BE0">
        <w:trPr>
          <w:gridAfter w:val="1"/>
          <w:wAfter w:w="20" w:type="dxa"/>
          <w:trHeight w:val="297"/>
        </w:trPr>
        <w:tc>
          <w:tcPr>
            <w:tcW w:w="5529" w:type="dxa"/>
            <w:gridSpan w:val="2"/>
            <w:shd w:val="clear" w:color="auto" w:fill="FFFFFF" w:themeFill="background1"/>
          </w:tcPr>
          <w:p w14:paraId="2C22862C" w14:textId="77777777" w:rsidR="00693BE0" w:rsidRPr="00693BE0" w:rsidRDefault="00693BE0" w:rsidP="009E015A">
            <w:pPr>
              <w:spacing w:before="40"/>
              <w:ind w:left="80" w:right="-120"/>
              <w:rPr>
                <w:rFonts w:ascii="Arial Narrow" w:hAnsi="Arial Narrow"/>
                <w:b/>
                <w:sz w:val="20"/>
                <w:szCs w:val="20"/>
                <w:lang w:val="de-DE"/>
              </w:rPr>
            </w:pPr>
            <w:r w:rsidRPr="00693BE0">
              <w:rPr>
                <w:rFonts w:ascii="Arial Narrow" w:hAnsi="Arial Narrow"/>
                <w:b/>
                <w:sz w:val="20"/>
                <w:szCs w:val="20"/>
                <w:lang w:val="de-DE"/>
              </w:rPr>
              <w:t>Checkliste: Strukturierte Betriebsratsarbeit zur Förderung des betrieblichen Umweltschutzes</w:t>
            </w:r>
          </w:p>
        </w:tc>
      </w:tr>
      <w:tr w:rsidR="00693BE0" w:rsidRPr="00693BE0" w14:paraId="10CF4627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6DCD2435" w14:textId="77777777" w:rsidR="00693BE0" w:rsidRPr="00693BE0" w:rsidRDefault="00693BE0" w:rsidP="009E015A">
            <w:pPr>
              <w:spacing w:before="29" w:line="239" w:lineRule="exact"/>
              <w:ind w:left="80"/>
              <w:rPr>
                <w:rFonts w:ascii="Palatino Linotype"/>
                <w:b/>
                <w:color w:val="000000"/>
                <w:sz w:val="20"/>
                <w:szCs w:val="20"/>
                <w:lang w:val="de-DE"/>
              </w:rPr>
            </w:pPr>
            <w:r w:rsidRPr="00693BE0">
              <w:rPr>
                <w:rFonts w:ascii="Palatino Linotype"/>
                <w:b/>
                <w:color w:val="000000"/>
                <w:sz w:val="20"/>
                <w:szCs w:val="20"/>
                <w:lang w:val="de-DE"/>
              </w:rPr>
              <w:t>Handlungsschritt</w:t>
            </w:r>
          </w:p>
        </w:tc>
        <w:tc>
          <w:tcPr>
            <w:tcW w:w="587" w:type="dxa"/>
            <w:gridSpan w:val="2"/>
            <w:shd w:val="clear" w:color="auto" w:fill="FFFFFF" w:themeFill="background1"/>
            <w:vAlign w:val="center"/>
          </w:tcPr>
          <w:p w14:paraId="71F2F5DE" w14:textId="77777777" w:rsidR="00693BE0" w:rsidRPr="00693BE0" w:rsidRDefault="00693BE0" w:rsidP="009E015A">
            <w:pPr>
              <w:spacing w:before="29" w:line="239" w:lineRule="exact"/>
              <w:ind w:left="80"/>
              <w:jc w:val="center"/>
              <w:rPr>
                <w:rFonts w:ascii="Palatino Linotype" w:hAnsi="Palatino Linotype"/>
                <w:b/>
                <w:color w:val="131413"/>
                <w:sz w:val="20"/>
                <w:szCs w:val="20"/>
                <w:lang w:val="de-DE"/>
              </w:rPr>
            </w:pPr>
            <w:r w:rsidRPr="00693BE0">
              <w:rPr>
                <w:rFonts w:ascii="Palatino Linotype" w:hAnsi="Palatino Linotype"/>
                <w:b/>
                <w:color w:val="131413"/>
                <w:sz w:val="20"/>
                <w:szCs w:val="20"/>
                <w:lang w:val="de-DE"/>
              </w:rPr>
              <w:sym w:font="Wingdings" w:char="F0FE"/>
            </w:r>
          </w:p>
        </w:tc>
      </w:tr>
      <w:tr w:rsidR="00693BE0" w:rsidRPr="00693BE0" w14:paraId="5EF193B5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7AC30D6C" w14:textId="77777777" w:rsidR="00693BE0" w:rsidRPr="00693BE0" w:rsidRDefault="00693BE0" w:rsidP="009E015A">
            <w:pPr>
              <w:spacing w:before="45" w:line="223" w:lineRule="exact"/>
              <w:ind w:left="80"/>
              <w:rPr>
                <w:sz w:val="20"/>
                <w:szCs w:val="20"/>
                <w:lang w:val="de-DE"/>
              </w:rPr>
            </w:pPr>
            <w:r w:rsidRPr="00693BE0">
              <w:rPr>
                <w:sz w:val="20"/>
                <w:szCs w:val="20"/>
                <w:lang w:val="de-DE"/>
              </w:rPr>
              <w:t>Verantwortliche Person im Betriebsrat ist benannt.</w:t>
            </w:r>
          </w:p>
        </w:tc>
        <w:tc>
          <w:tcPr>
            <w:tcW w:w="587" w:type="dxa"/>
            <w:gridSpan w:val="2"/>
            <w:shd w:val="clear" w:color="auto" w:fill="FFFFFF" w:themeFill="background1"/>
            <w:vAlign w:val="center"/>
          </w:tcPr>
          <w:p w14:paraId="27E6DE79" w14:textId="77777777" w:rsidR="00693BE0" w:rsidRPr="00693BE0" w:rsidRDefault="00693BE0" w:rsidP="009E015A">
            <w:pPr>
              <w:spacing w:before="45" w:line="223" w:lineRule="exact"/>
              <w:ind w:left="80"/>
              <w:jc w:val="center"/>
              <w:rPr>
                <w:color w:val="131413"/>
                <w:sz w:val="20"/>
                <w:szCs w:val="20"/>
                <w:lang w:val="de-DE"/>
              </w:rPr>
            </w:pPr>
            <w:r w:rsidRPr="00693BE0">
              <w:rPr>
                <w:color w:val="131413"/>
                <w:sz w:val="20"/>
                <w:szCs w:val="20"/>
                <w:lang w:val="de-DE"/>
              </w:rPr>
              <w:sym w:font="Wingdings" w:char="F071"/>
            </w:r>
          </w:p>
        </w:tc>
      </w:tr>
      <w:tr w:rsidR="00693BE0" w:rsidRPr="00693BE0" w14:paraId="7665DE89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74BC7917" w14:textId="77777777" w:rsidR="00693BE0" w:rsidRPr="00693BE0" w:rsidRDefault="00693BE0" w:rsidP="009E015A">
            <w:pPr>
              <w:spacing w:before="45" w:line="223" w:lineRule="exact"/>
              <w:ind w:left="80"/>
              <w:rPr>
                <w:sz w:val="20"/>
                <w:szCs w:val="20"/>
                <w:lang w:val="de-DE"/>
              </w:rPr>
            </w:pPr>
            <w:r w:rsidRPr="00693BE0">
              <w:rPr>
                <w:sz w:val="20"/>
                <w:szCs w:val="20"/>
                <w:lang w:val="de-DE"/>
              </w:rPr>
              <w:t>Erstellung einer Übersicht mit betriebsinternen Ansprechpartnern (Stakeholder) zum Thema Umweltschutz. Welche Ziele wollen diese jeweils erreichen und wo ist ihr aktueller Stand?</w:t>
            </w:r>
          </w:p>
        </w:tc>
        <w:tc>
          <w:tcPr>
            <w:tcW w:w="587" w:type="dxa"/>
            <w:gridSpan w:val="2"/>
            <w:shd w:val="clear" w:color="auto" w:fill="FFFFFF" w:themeFill="background1"/>
            <w:vAlign w:val="center"/>
          </w:tcPr>
          <w:p w14:paraId="7D7E6E99" w14:textId="77777777" w:rsidR="00693BE0" w:rsidRPr="00693BE0" w:rsidRDefault="00693BE0" w:rsidP="009E015A">
            <w:pPr>
              <w:spacing w:before="45" w:line="223" w:lineRule="exact"/>
              <w:ind w:left="-2033" w:right="27" w:firstLine="2113"/>
              <w:jc w:val="center"/>
              <w:rPr>
                <w:color w:val="131413"/>
                <w:sz w:val="20"/>
                <w:szCs w:val="20"/>
                <w:lang w:val="de-DE"/>
              </w:rPr>
            </w:pPr>
            <w:r w:rsidRPr="00693BE0">
              <w:rPr>
                <w:color w:val="131413"/>
                <w:sz w:val="20"/>
                <w:szCs w:val="20"/>
                <w:lang w:val="de-DE"/>
              </w:rPr>
              <w:sym w:font="Wingdings" w:char="F071"/>
            </w:r>
          </w:p>
        </w:tc>
      </w:tr>
      <w:tr w:rsidR="00693BE0" w:rsidRPr="00693BE0" w14:paraId="72361217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3D1730D2" w14:textId="77777777" w:rsidR="00693BE0" w:rsidRPr="00693BE0" w:rsidRDefault="00693BE0" w:rsidP="009E015A">
            <w:pPr>
              <w:spacing w:before="45" w:line="223" w:lineRule="exact"/>
              <w:ind w:left="80"/>
              <w:rPr>
                <w:sz w:val="20"/>
                <w:szCs w:val="20"/>
                <w:lang w:val="de-DE"/>
              </w:rPr>
            </w:pPr>
            <w:r w:rsidRPr="00693BE0">
              <w:rPr>
                <w:sz w:val="20"/>
                <w:szCs w:val="20"/>
                <w:lang w:val="de-DE"/>
              </w:rPr>
              <w:t>Festlegung, an welchen Umweltschutzmaßnahmen der Betriebsrat mit welcher Priorität arbeiten will.</w:t>
            </w:r>
          </w:p>
        </w:tc>
        <w:tc>
          <w:tcPr>
            <w:tcW w:w="587" w:type="dxa"/>
            <w:gridSpan w:val="2"/>
            <w:shd w:val="clear" w:color="auto" w:fill="FFFFFF" w:themeFill="background1"/>
            <w:vAlign w:val="center"/>
          </w:tcPr>
          <w:p w14:paraId="3DB8B64A" w14:textId="77777777" w:rsidR="00693BE0" w:rsidRPr="00693BE0" w:rsidRDefault="00693BE0" w:rsidP="009E015A">
            <w:pPr>
              <w:spacing w:before="45" w:line="223" w:lineRule="exact"/>
              <w:ind w:left="80"/>
              <w:jc w:val="center"/>
              <w:rPr>
                <w:sz w:val="20"/>
                <w:szCs w:val="20"/>
                <w:lang w:val="de-DE"/>
              </w:rPr>
            </w:pPr>
            <w:r w:rsidRPr="00693BE0">
              <w:rPr>
                <w:color w:val="131413"/>
                <w:sz w:val="20"/>
                <w:szCs w:val="20"/>
                <w:lang w:val="de-DE"/>
              </w:rPr>
              <w:sym w:font="Wingdings" w:char="F071"/>
            </w:r>
          </w:p>
        </w:tc>
      </w:tr>
      <w:tr w:rsidR="00693BE0" w:rsidRPr="00693BE0" w14:paraId="2FA40636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1F60FB10" w14:textId="77777777" w:rsidR="00693BE0" w:rsidRPr="00693BE0" w:rsidRDefault="00693BE0" w:rsidP="009E015A">
            <w:pPr>
              <w:spacing w:before="45" w:line="223" w:lineRule="exact"/>
              <w:ind w:left="80"/>
              <w:rPr>
                <w:sz w:val="20"/>
                <w:szCs w:val="20"/>
                <w:lang w:val="de-DE"/>
              </w:rPr>
            </w:pPr>
            <w:r w:rsidRPr="00693BE0">
              <w:rPr>
                <w:sz w:val="20"/>
                <w:szCs w:val="20"/>
                <w:lang w:val="de-DE"/>
              </w:rPr>
              <w:t>Analyse der bisherigen Beteiligung des Betriebsrates beim Thema betriebliche Umweltschutz: welche Beteiligungsformen hat es gegeben? Was hat funktioniert, was weniger?</w:t>
            </w:r>
          </w:p>
        </w:tc>
        <w:tc>
          <w:tcPr>
            <w:tcW w:w="587" w:type="dxa"/>
            <w:gridSpan w:val="2"/>
            <w:shd w:val="clear" w:color="auto" w:fill="FFFFFF" w:themeFill="background1"/>
            <w:vAlign w:val="center"/>
          </w:tcPr>
          <w:p w14:paraId="668C4E48" w14:textId="77777777" w:rsidR="00693BE0" w:rsidRPr="00693BE0" w:rsidRDefault="00693BE0" w:rsidP="009E015A">
            <w:pPr>
              <w:spacing w:before="45" w:line="223" w:lineRule="exact"/>
              <w:ind w:left="80"/>
              <w:jc w:val="center"/>
              <w:rPr>
                <w:color w:val="131413"/>
                <w:sz w:val="20"/>
                <w:szCs w:val="20"/>
                <w:lang w:val="de-DE"/>
              </w:rPr>
            </w:pPr>
            <w:r w:rsidRPr="00693BE0">
              <w:rPr>
                <w:color w:val="131413"/>
                <w:sz w:val="20"/>
                <w:szCs w:val="20"/>
                <w:lang w:val="de-DE"/>
              </w:rPr>
              <w:sym w:font="Wingdings" w:char="F071"/>
            </w:r>
          </w:p>
        </w:tc>
      </w:tr>
      <w:tr w:rsidR="00693BE0" w:rsidRPr="00693BE0" w14:paraId="7A7466A1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428F083B" w14:textId="77777777" w:rsidR="00693BE0" w:rsidRPr="00693BE0" w:rsidRDefault="00693BE0" w:rsidP="009E015A">
            <w:pPr>
              <w:spacing w:before="45" w:line="223" w:lineRule="exact"/>
              <w:ind w:left="80"/>
              <w:rPr>
                <w:sz w:val="20"/>
                <w:szCs w:val="20"/>
                <w:lang w:val="de-DE"/>
              </w:rPr>
            </w:pPr>
            <w:r w:rsidRPr="00693BE0">
              <w:rPr>
                <w:sz w:val="20"/>
                <w:szCs w:val="20"/>
                <w:lang w:val="de-DE"/>
              </w:rPr>
              <w:t>Ermittlung des Qualifizierungsbedarfs bei den Beschäftigten insbesondere zu den prioritären Umweltschutzthemen des Betriebsrats (siehe oben).</w:t>
            </w:r>
          </w:p>
        </w:tc>
        <w:tc>
          <w:tcPr>
            <w:tcW w:w="587" w:type="dxa"/>
            <w:gridSpan w:val="2"/>
            <w:shd w:val="clear" w:color="auto" w:fill="FFFFFF" w:themeFill="background1"/>
          </w:tcPr>
          <w:p w14:paraId="043B8545" w14:textId="77777777" w:rsidR="00693BE0" w:rsidRPr="00693BE0" w:rsidRDefault="00693BE0" w:rsidP="009E015A">
            <w:pPr>
              <w:spacing w:before="45" w:line="223" w:lineRule="exact"/>
              <w:ind w:left="80"/>
              <w:jc w:val="center"/>
              <w:rPr>
                <w:color w:val="131413"/>
                <w:sz w:val="20"/>
                <w:szCs w:val="20"/>
                <w:lang w:val="de-DE"/>
              </w:rPr>
            </w:pPr>
            <w:r w:rsidRPr="00693BE0">
              <w:rPr>
                <w:color w:val="131413"/>
                <w:sz w:val="20"/>
                <w:szCs w:val="20"/>
                <w:lang w:val="de-DE"/>
              </w:rPr>
              <w:sym w:font="Wingdings" w:char="F071"/>
            </w:r>
          </w:p>
        </w:tc>
      </w:tr>
      <w:tr w:rsidR="00693BE0" w:rsidRPr="00693BE0" w14:paraId="01ACBB12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5E922207" w14:textId="599C1AB3" w:rsidR="00693BE0" w:rsidRPr="00693BE0" w:rsidRDefault="00693BE0" w:rsidP="009E015A">
            <w:pPr>
              <w:spacing w:before="45" w:line="223" w:lineRule="exact"/>
              <w:ind w:left="80"/>
              <w:rPr>
                <w:sz w:val="20"/>
                <w:szCs w:val="20"/>
                <w:lang w:val="de-DE"/>
              </w:rPr>
            </w:pPr>
            <w:r w:rsidRPr="00693BE0">
              <w:rPr>
                <w:sz w:val="20"/>
                <w:szCs w:val="20"/>
                <w:lang w:val="de-DE"/>
              </w:rPr>
              <w:t xml:space="preserve">Mitarbeiterbefragung: Wo werden Energie und Ressourcen verschwendet? Welche „Umweltsünden“ sind </w:t>
            </w:r>
            <w:r w:rsidRPr="00693BE0">
              <w:rPr>
                <w:sz w:val="20"/>
                <w:szCs w:val="20"/>
                <w:lang w:val="de-DE"/>
              </w:rPr>
              <w:t>den</w:t>
            </w:r>
            <w:r w:rsidRPr="00693BE0">
              <w:rPr>
                <w:sz w:val="20"/>
                <w:szCs w:val="20"/>
                <w:lang w:val="de-DE"/>
              </w:rPr>
              <w:t xml:space="preserve"> Beschäftigten aufgefallen Was hindert die Beschäftigten, umweltgerechter zu arbeiten?</w:t>
            </w:r>
          </w:p>
        </w:tc>
        <w:tc>
          <w:tcPr>
            <w:tcW w:w="587" w:type="dxa"/>
            <w:gridSpan w:val="2"/>
            <w:shd w:val="clear" w:color="auto" w:fill="FFFFFF" w:themeFill="background1"/>
          </w:tcPr>
          <w:p w14:paraId="273043FB" w14:textId="77777777" w:rsidR="00693BE0" w:rsidRPr="00693BE0" w:rsidRDefault="00693BE0" w:rsidP="009E015A">
            <w:pPr>
              <w:spacing w:before="45" w:line="223" w:lineRule="exact"/>
              <w:ind w:left="80"/>
              <w:jc w:val="center"/>
              <w:rPr>
                <w:color w:val="131413"/>
                <w:sz w:val="20"/>
                <w:szCs w:val="20"/>
                <w:lang w:val="de-DE"/>
              </w:rPr>
            </w:pPr>
            <w:r w:rsidRPr="00693BE0">
              <w:rPr>
                <w:color w:val="131413"/>
                <w:sz w:val="20"/>
                <w:szCs w:val="20"/>
                <w:lang w:val="de-DE"/>
              </w:rPr>
              <w:sym w:font="Wingdings" w:char="F071"/>
            </w:r>
          </w:p>
        </w:tc>
      </w:tr>
      <w:tr w:rsidR="00693BE0" w:rsidRPr="00693BE0" w14:paraId="3408C56C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5A914E92" w14:textId="77777777" w:rsidR="00693BE0" w:rsidRPr="00693BE0" w:rsidRDefault="00693BE0" w:rsidP="009E015A">
            <w:pPr>
              <w:spacing w:before="45" w:line="223" w:lineRule="exact"/>
              <w:ind w:left="80"/>
              <w:rPr>
                <w:sz w:val="20"/>
                <w:szCs w:val="20"/>
                <w:lang w:val="de-DE"/>
              </w:rPr>
            </w:pPr>
            <w:r w:rsidRPr="00693BE0">
              <w:rPr>
                <w:sz w:val="20"/>
                <w:szCs w:val="20"/>
                <w:lang w:val="de-DE"/>
              </w:rPr>
              <w:t>Entwicklung von Verbesserungsvorschlägen, gegebenenfalls in Zusammenarbeit mit den Beschäftigten und den oben identifizierten Stakeholdern.</w:t>
            </w:r>
          </w:p>
        </w:tc>
        <w:tc>
          <w:tcPr>
            <w:tcW w:w="587" w:type="dxa"/>
            <w:gridSpan w:val="2"/>
            <w:shd w:val="clear" w:color="auto" w:fill="FFFFFF" w:themeFill="background1"/>
          </w:tcPr>
          <w:p w14:paraId="13801741" w14:textId="77777777" w:rsidR="00693BE0" w:rsidRPr="00693BE0" w:rsidRDefault="00693BE0" w:rsidP="009E015A">
            <w:pPr>
              <w:spacing w:before="45" w:line="223" w:lineRule="exact"/>
              <w:ind w:left="80"/>
              <w:jc w:val="center"/>
              <w:rPr>
                <w:color w:val="131413"/>
                <w:sz w:val="20"/>
                <w:szCs w:val="20"/>
                <w:lang w:val="de-DE"/>
              </w:rPr>
            </w:pPr>
            <w:r w:rsidRPr="00693BE0">
              <w:rPr>
                <w:color w:val="131413"/>
                <w:sz w:val="20"/>
                <w:szCs w:val="20"/>
                <w:lang w:val="de-DE"/>
              </w:rPr>
              <w:sym w:font="Wingdings" w:char="F071"/>
            </w:r>
          </w:p>
        </w:tc>
      </w:tr>
      <w:tr w:rsidR="00693BE0" w:rsidRPr="00693BE0" w14:paraId="5F384E00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4F8A8B89" w14:textId="77777777" w:rsidR="00693BE0" w:rsidRPr="00693BE0" w:rsidRDefault="00693BE0" w:rsidP="009E015A">
            <w:pPr>
              <w:spacing w:before="45" w:line="223" w:lineRule="exact"/>
              <w:ind w:left="80"/>
              <w:rPr>
                <w:sz w:val="20"/>
                <w:szCs w:val="20"/>
                <w:lang w:val="de-DE"/>
              </w:rPr>
            </w:pPr>
            <w:r w:rsidRPr="00693BE0">
              <w:rPr>
                <w:sz w:val="20"/>
                <w:szCs w:val="20"/>
                <w:lang w:val="de-DE"/>
              </w:rPr>
              <w:t>Änderung von Rahmenbedingungen mit der Geschäftsleitung diskutieren, soweit erforderlich, gegebenenfalls Betriebsvereinbarungen abschließen.</w:t>
            </w:r>
          </w:p>
        </w:tc>
        <w:tc>
          <w:tcPr>
            <w:tcW w:w="587" w:type="dxa"/>
            <w:gridSpan w:val="2"/>
            <w:shd w:val="clear" w:color="auto" w:fill="FFFFFF" w:themeFill="background1"/>
          </w:tcPr>
          <w:p w14:paraId="1117F5AB" w14:textId="77777777" w:rsidR="00693BE0" w:rsidRPr="00693BE0" w:rsidRDefault="00693BE0" w:rsidP="009E015A">
            <w:pPr>
              <w:spacing w:before="45" w:line="223" w:lineRule="exact"/>
              <w:ind w:left="80"/>
              <w:jc w:val="center"/>
              <w:rPr>
                <w:color w:val="131413"/>
                <w:sz w:val="20"/>
                <w:szCs w:val="20"/>
                <w:lang w:val="de-DE"/>
              </w:rPr>
            </w:pPr>
            <w:r w:rsidRPr="00693BE0">
              <w:rPr>
                <w:color w:val="131413"/>
                <w:sz w:val="20"/>
                <w:szCs w:val="20"/>
                <w:lang w:val="de-DE"/>
              </w:rPr>
              <w:sym w:font="Wingdings" w:char="F071"/>
            </w:r>
          </w:p>
        </w:tc>
      </w:tr>
      <w:tr w:rsidR="00693BE0" w:rsidRPr="00693BE0" w14:paraId="783DD8BE" w14:textId="77777777" w:rsidTr="00693BE0">
        <w:trPr>
          <w:trHeight w:val="288"/>
        </w:trPr>
        <w:tc>
          <w:tcPr>
            <w:tcW w:w="4962" w:type="dxa"/>
            <w:shd w:val="clear" w:color="auto" w:fill="FFFFFF" w:themeFill="background1"/>
          </w:tcPr>
          <w:p w14:paraId="0E154EA3" w14:textId="77777777" w:rsidR="00693BE0" w:rsidRPr="00693BE0" w:rsidRDefault="00693BE0" w:rsidP="009E015A">
            <w:pPr>
              <w:spacing w:before="45" w:line="223" w:lineRule="exact"/>
              <w:ind w:left="80"/>
              <w:rPr>
                <w:sz w:val="20"/>
                <w:szCs w:val="20"/>
                <w:lang w:val="de-DE"/>
              </w:rPr>
            </w:pPr>
            <w:r w:rsidRPr="00693BE0">
              <w:rPr>
                <w:sz w:val="20"/>
                <w:szCs w:val="20"/>
                <w:lang w:val="de-DE"/>
              </w:rPr>
              <w:t>Erfolg der Maßnahmen regelmäßig Revue passieren lassen und gegebenenfalls anpassen.</w:t>
            </w:r>
          </w:p>
        </w:tc>
        <w:tc>
          <w:tcPr>
            <w:tcW w:w="587" w:type="dxa"/>
            <w:gridSpan w:val="2"/>
            <w:shd w:val="clear" w:color="auto" w:fill="FFFFFF" w:themeFill="background1"/>
          </w:tcPr>
          <w:p w14:paraId="6276879F" w14:textId="77777777" w:rsidR="00693BE0" w:rsidRPr="00693BE0" w:rsidRDefault="00693BE0" w:rsidP="009E015A">
            <w:pPr>
              <w:spacing w:before="45" w:line="223" w:lineRule="exact"/>
              <w:ind w:left="80"/>
              <w:jc w:val="center"/>
              <w:rPr>
                <w:color w:val="131413"/>
                <w:sz w:val="20"/>
                <w:szCs w:val="20"/>
                <w:lang w:val="de-DE"/>
              </w:rPr>
            </w:pPr>
            <w:r w:rsidRPr="00693BE0">
              <w:rPr>
                <w:color w:val="131413"/>
                <w:sz w:val="20"/>
                <w:szCs w:val="20"/>
                <w:lang w:val="de-DE"/>
              </w:rPr>
              <w:sym w:font="Wingdings" w:char="F071"/>
            </w:r>
          </w:p>
        </w:tc>
      </w:tr>
    </w:tbl>
    <w:p w14:paraId="77B0E622" w14:textId="77777777" w:rsidR="00094AC0" w:rsidRDefault="00094AC0"/>
    <w:sectPr w:rsidR="00094A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FF1C8C3-D307-4D7A-88C4-DBA721AFB1E0}"/>
    <w:docVar w:name="dgnword-eventsink" w:val="1737093178416"/>
  </w:docVars>
  <w:rsids>
    <w:rsidRoot w:val="00693BE0"/>
    <w:rsid w:val="00094AC0"/>
    <w:rsid w:val="00527846"/>
    <w:rsid w:val="005448F3"/>
    <w:rsid w:val="00564A10"/>
    <w:rsid w:val="00693BE0"/>
    <w:rsid w:val="0070330A"/>
    <w:rsid w:val="00C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8188"/>
  <w15:chartTrackingRefBased/>
  <w15:docId w15:val="{4E6A6E98-1BB4-47B3-A50A-12F8F2B7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New Tai Lue" w:eastAsiaTheme="minorHAnsi" w:hAnsi="Microsoft New Tai Lue" w:cs="Microsoft New Tai Lue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93BE0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3BE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3BE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3BE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BE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BE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BE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BE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BE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BE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3B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B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B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B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B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B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B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3BE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9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3BE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3B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3BE0"/>
    <w:pPr>
      <w:widowControl/>
      <w:autoSpaceDE/>
      <w:autoSpaceDN/>
      <w:spacing w:before="160" w:after="160" w:line="259" w:lineRule="auto"/>
      <w:jc w:val="center"/>
    </w:pPr>
    <w:rPr>
      <w:rFonts w:ascii="Microsoft New Tai Lue" w:eastAsiaTheme="minorHAnsi" w:hAnsi="Microsoft New Tai Lue" w:cs="Microsoft New Tai Lue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93B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3BE0"/>
    <w:pPr>
      <w:widowControl/>
      <w:autoSpaceDE/>
      <w:autoSpaceDN/>
      <w:spacing w:after="160" w:line="259" w:lineRule="auto"/>
      <w:ind w:left="720"/>
      <w:contextualSpacing/>
    </w:pPr>
    <w:rPr>
      <w:rFonts w:ascii="Microsoft New Tai Lue" w:eastAsiaTheme="minorHAnsi" w:hAnsi="Microsoft New Tai Lue" w:cs="Microsoft New Tai Lue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93B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3B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Microsoft New Tai Lue" w:eastAsiaTheme="minorHAnsi" w:hAnsi="Microsoft New Tai Lue" w:cs="Microsoft New Tai Lue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3B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3BE0"/>
    <w:rPr>
      <w:b/>
      <w:bCs/>
      <w:smallCaps/>
      <w:color w:val="0F4761" w:themeColor="accent1" w:themeShade="BF"/>
      <w:spacing w:val="5"/>
    </w:rPr>
  </w:style>
  <w:style w:type="paragraph" w:customStyle="1" w:styleId="EMF-Flietext">
    <w:name w:val="EMF-Fließtext"/>
    <w:basedOn w:val="Standard"/>
    <w:link w:val="EMF-FlietextZchn"/>
    <w:qFormat/>
    <w:rsid w:val="00693BE0"/>
    <w:pPr>
      <w:spacing w:before="76" w:line="278" w:lineRule="auto"/>
      <w:ind w:left="1690" w:right="1123"/>
      <w:jc w:val="both"/>
    </w:pPr>
    <w:rPr>
      <w:bCs/>
      <w:sz w:val="18"/>
      <w:szCs w:val="12"/>
    </w:rPr>
  </w:style>
  <w:style w:type="character" w:customStyle="1" w:styleId="EMF-FlietextZchn">
    <w:name w:val="EMF-Fließtext Zchn"/>
    <w:basedOn w:val="Absatz-Standardschriftart"/>
    <w:link w:val="EMF-Flietext"/>
    <w:rsid w:val="00693BE0"/>
    <w:rPr>
      <w:rFonts w:ascii="Book Antiqua" w:eastAsia="Book Antiqua" w:hAnsi="Book Antiqua" w:cs="Book Antiqua"/>
      <w:bCs/>
      <w:kern w:val="0"/>
      <w:sz w:val="18"/>
      <w:szCs w:val="1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93BE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Drive 2K  Verbandsberatung</dc:creator>
  <cp:keywords/>
  <dc:description/>
  <cp:lastModifiedBy>One Drive 2K  Verbandsberatung</cp:lastModifiedBy>
  <cp:revision>1</cp:revision>
  <dcterms:created xsi:type="dcterms:W3CDTF">2024-10-16T13:18:00Z</dcterms:created>
  <dcterms:modified xsi:type="dcterms:W3CDTF">2024-10-16T13:23:00Z</dcterms:modified>
</cp:coreProperties>
</file>