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4"/>
        <w:gridCol w:w="7904"/>
      </w:tblGrid>
      <w:tr w:rsidR="008A7CA7" w14:paraId="1D02CFF6" w14:textId="77777777" w:rsidTr="005D2310">
        <w:tc>
          <w:tcPr>
            <w:tcW w:w="9288" w:type="dxa"/>
            <w:gridSpan w:val="2"/>
          </w:tcPr>
          <w:p w14:paraId="56A542DC" w14:textId="6F05E95D" w:rsidR="008A7CA7" w:rsidRDefault="008A7CA7" w:rsidP="00EE3BE3">
            <w:pPr>
              <w:spacing w:before="100" w:beforeAutospacing="1" w:after="100" w:afterAutospacing="1" w:line="276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Übersicht: </w:t>
            </w:r>
            <w:r w:rsidR="007A327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Rechtliche Grundlagen für die Aufgaben des Betriebsarztes und die Auswirkungen auf Ihre Arbeit</w:t>
            </w:r>
            <w:r w:rsidR="008420A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 als BR</w:t>
            </w:r>
          </w:p>
        </w:tc>
      </w:tr>
      <w:tr w:rsidR="007A3270" w14:paraId="64D619C3" w14:textId="77777777" w:rsidTr="005D2310">
        <w:tc>
          <w:tcPr>
            <w:tcW w:w="9288" w:type="dxa"/>
            <w:gridSpan w:val="2"/>
            <w:shd w:val="clear" w:color="auto" w:fill="E8E8E8" w:themeFill="background2"/>
          </w:tcPr>
          <w:p w14:paraId="2259A9DC" w14:textId="79713E06" w:rsidR="007A3270" w:rsidRPr="007A3270" w:rsidRDefault="007A3270" w:rsidP="00EE3BE3">
            <w:pPr>
              <w:spacing w:before="100" w:beforeAutospacing="1" w:after="100" w:afterAutospacing="1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8A7CA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Das Arbeitssicherheitsgesetz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: </w:t>
            </w:r>
            <w:r w:rsidR="005D23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br/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Das ASiG legt fest, dass 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es in der Verantwortung 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Ihr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es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Arbeitgeber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s liegt,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dem Arbeits- und Gesundheitsschutz bzw. der Unfallverhütung im Unternehmen nachzukommen, einen Betriebsarzt 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zu 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bestellen und die gesetzlichen geforderten Aufgaben an ihn zu übertragen.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Für Sie als Betriebsrat ist 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ins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besonder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e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§ 9 relevant.</w:t>
            </w:r>
          </w:p>
        </w:tc>
      </w:tr>
      <w:tr w:rsidR="007A3270" w14:paraId="738066EF" w14:textId="77777777" w:rsidTr="00A63D2A">
        <w:tc>
          <w:tcPr>
            <w:tcW w:w="1384" w:type="dxa"/>
          </w:tcPr>
          <w:p w14:paraId="04A73A91" w14:textId="4FF31BDA" w:rsidR="007A3270" w:rsidRDefault="007A3270" w:rsidP="00EE3BE3">
            <w:pPr>
              <w:spacing w:before="100" w:beforeAutospacing="1" w:after="100" w:afterAutospacing="1" w:line="276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8A7CA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§ 2 ASiG</w:t>
            </w:r>
          </w:p>
        </w:tc>
        <w:tc>
          <w:tcPr>
            <w:tcW w:w="7904" w:type="dxa"/>
          </w:tcPr>
          <w:p w14:paraId="1E7E6F4C" w14:textId="774CF6E0" w:rsidR="007A3270" w:rsidRDefault="007A3270" w:rsidP="00EE3BE3">
            <w:pPr>
              <w:spacing w:before="100" w:beforeAutospacing="1" w:after="100" w:afterAutospacing="1" w:line="276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Ihr Arbeitgeber hat einen Betriebsarzt zu bestellen und überträgt ihm die gesetzlichen Aufgaben. Er hat dafür zu sorgen, dass der Betriebsarzt seine Aufgaben erfüllt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,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und muss ihm hierfür auch soweit erforderlich Räumlichkeiten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und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Geräte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bereitstellen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oder auch Fortbildungen ermöglichen.  </w:t>
            </w:r>
          </w:p>
        </w:tc>
      </w:tr>
      <w:tr w:rsidR="007A3270" w14:paraId="582D5583" w14:textId="77777777" w:rsidTr="00A63D2A">
        <w:tc>
          <w:tcPr>
            <w:tcW w:w="1384" w:type="dxa"/>
          </w:tcPr>
          <w:p w14:paraId="1FF9E519" w14:textId="5C65FEF6" w:rsidR="007A3270" w:rsidRDefault="007A3270" w:rsidP="00EE3BE3">
            <w:pPr>
              <w:spacing w:before="100" w:beforeAutospacing="1" w:after="100" w:afterAutospacing="1" w:line="276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8A7CA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§ 3 ASiG</w:t>
            </w:r>
          </w:p>
        </w:tc>
        <w:tc>
          <w:tcPr>
            <w:tcW w:w="7904" w:type="dxa"/>
          </w:tcPr>
          <w:p w14:paraId="50D6B6BD" w14:textId="2F75B3D7" w:rsidR="007A3270" w:rsidRDefault="007A3270" w:rsidP="00EE3BE3">
            <w:pPr>
              <w:spacing w:before="100" w:beforeAutospacing="1" w:after="100" w:afterAutospacing="1" w:line="276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Die Aufgaben des Betriebsarztes werden durch § 3 ASIG definiert und durch das Arbeitsschutzgesetz, die die Arbeitsmedizinische </w:t>
            </w:r>
            <w:r w:rsidR="001F03CD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Vorsorge-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Verordnung und die Vorschrift 2 der DGUV nochmals konkretisier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t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. Zu den groben Aufgaben eines Betriebsarztes gehören Beratung, 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a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rbeitsmedizinischen Untersuchungen 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und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Begehungen. Ausdrücklich schließt das Gesetz aus, die Krankmeldungen der Kolleginnen und Kollegen auf ihre Berechtigung überprüfen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zu müssen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Dies ist für Sie als Betriebsrat z.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B. im 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betrieblichen Eingliederungsmanagement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relevant, wenn Ihr Arbeitgeber das umgehen möchte.</w:t>
            </w:r>
          </w:p>
        </w:tc>
      </w:tr>
      <w:tr w:rsidR="007A3270" w14:paraId="3D95BDE8" w14:textId="77777777" w:rsidTr="00A63D2A">
        <w:tc>
          <w:tcPr>
            <w:tcW w:w="1384" w:type="dxa"/>
          </w:tcPr>
          <w:p w14:paraId="5E366F29" w14:textId="119E3825" w:rsidR="007A3270" w:rsidRDefault="007A3270" w:rsidP="00EE3BE3">
            <w:pPr>
              <w:spacing w:before="100" w:beforeAutospacing="1" w:after="100" w:afterAutospacing="1" w:line="276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8A7CA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§ 4 ASiG</w:t>
            </w:r>
          </w:p>
        </w:tc>
        <w:tc>
          <w:tcPr>
            <w:tcW w:w="7904" w:type="dxa"/>
          </w:tcPr>
          <w:p w14:paraId="6953594D" w14:textId="4DCA8DFF" w:rsidR="007A3270" w:rsidRDefault="007A3270" w:rsidP="00EE3BE3">
            <w:pPr>
              <w:spacing w:before="100" w:beforeAutospacing="1" w:after="100" w:afterAutospacing="1" w:line="276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Definiert die Qualifikation, die Ihr Betriebsarzt (Zusatzqualifikation oder Facharzt für Arbeitsmedizin)</w:t>
            </w:r>
            <w:r w:rsidR="005D23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vorweisen muss, um tätig zu werden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</w:tr>
      <w:tr w:rsidR="007A3270" w14:paraId="7631A573" w14:textId="77777777" w:rsidTr="00A63D2A">
        <w:tc>
          <w:tcPr>
            <w:tcW w:w="1384" w:type="dxa"/>
          </w:tcPr>
          <w:p w14:paraId="34A34C71" w14:textId="0D054565" w:rsidR="007A3270" w:rsidRDefault="007A3270" w:rsidP="00EE3BE3">
            <w:pPr>
              <w:spacing w:before="100" w:beforeAutospacing="1" w:after="100" w:afterAutospacing="1" w:line="276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8A7CA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§ 9 ASiG</w:t>
            </w:r>
          </w:p>
        </w:tc>
        <w:tc>
          <w:tcPr>
            <w:tcW w:w="7904" w:type="dxa"/>
          </w:tcPr>
          <w:p w14:paraId="77B858C0" w14:textId="56F91AF1" w:rsidR="007A3270" w:rsidRDefault="007A3270" w:rsidP="00EE3BE3">
            <w:pPr>
              <w:spacing w:before="100" w:beforeAutospacing="1" w:after="100" w:afterAutospacing="1" w:line="276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Der Betriebsarzt ist dazu verpflichtet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,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mit Ihnen als Betriebsrat zusammenzuarbeiten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,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und muss Sie über wichtige Angelegenheiten des Arbeitsschutzes und der Unfallverhütung unterrichten. Als Betriebsrat muss er Sie fachlich beraten. Als Betriebsrat müssen Sie bei der Bestellung des Betriebsarztes zustimmen.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</w:p>
        </w:tc>
      </w:tr>
      <w:tr w:rsidR="007A3270" w14:paraId="4B30FEEE" w14:textId="77777777" w:rsidTr="00A63D2A">
        <w:tc>
          <w:tcPr>
            <w:tcW w:w="1384" w:type="dxa"/>
          </w:tcPr>
          <w:p w14:paraId="69A5159A" w14:textId="393E8182" w:rsidR="007A3270" w:rsidRDefault="007A3270" w:rsidP="00EE3BE3">
            <w:pPr>
              <w:spacing w:before="100" w:beforeAutospacing="1" w:after="100" w:afterAutospacing="1" w:line="276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8A7CA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§ 11 ASiG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 </w:t>
            </w:r>
          </w:p>
        </w:tc>
        <w:tc>
          <w:tcPr>
            <w:tcW w:w="7904" w:type="dxa"/>
          </w:tcPr>
          <w:p w14:paraId="7D3A9347" w14:textId="2B106BFB" w:rsidR="007A3270" w:rsidRDefault="005D2310" w:rsidP="00EE3BE3">
            <w:pPr>
              <w:spacing w:before="100" w:beforeAutospacing="1" w:after="100" w:afterAutospacing="1" w:line="276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Der Betriebsarzt ist wie Sie als Betriebsrat Teil des Arbeitsschutzausschusses. Daher sollten Sie als Betriebsrat ihn auch bei den 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Zusammenkünften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im Jahr regelmäßig für einen Austausch treffen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. Wie oft war das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in 2024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der Fall? Ggf. hat Ihr Betriebsrat zu wenig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e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Stunden, um all seinen Aufgaben nachzukommen.</w:t>
            </w:r>
          </w:p>
        </w:tc>
      </w:tr>
      <w:tr w:rsidR="005D2310" w14:paraId="569E4829" w14:textId="77777777" w:rsidTr="00EE3BE3">
        <w:tc>
          <w:tcPr>
            <w:tcW w:w="9288" w:type="dxa"/>
            <w:gridSpan w:val="2"/>
            <w:shd w:val="clear" w:color="auto" w:fill="E8E8E8" w:themeFill="background2"/>
          </w:tcPr>
          <w:p w14:paraId="0242C578" w14:textId="300B4EC2" w:rsidR="00555A10" w:rsidRPr="00EE3BE3" w:rsidRDefault="005D2310" w:rsidP="00EE3BE3">
            <w:pPr>
              <w:spacing w:before="100" w:beforeAutospacing="1" w:after="100" w:afterAutospacing="1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Arbeitsschutzgesetz</w:t>
            </w:r>
            <w:r w:rsidR="00555A1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br/>
            </w:r>
            <w:r w:rsidR="00555A10"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Ziel des ArbSchG ist es, die körperliche und seelische Gesundheit Ihrer</w:t>
            </w:r>
            <w:r w:rsidR="001F03CD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555A10"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Kollegen zu erhalten und zu verbessern. Hierfür muss Ihr Arbeitgeber die Gefährdungsbeurteilung mit Unterstützung des Betriebsarztes und der Fachkraft für Arbeitssicherheit durchführen. Ebenso muss er </w:t>
            </w:r>
            <w:r w:rsidR="00555A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a</w:t>
            </w:r>
            <w:r w:rsidR="00555A10"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rbeitsmedizinische Untersuchungen anbieten</w:t>
            </w:r>
            <w:r w:rsidR="00555A10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(siehe Seite 6+7)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</w:tr>
      <w:tr w:rsidR="00555A10" w14:paraId="516F40C2" w14:textId="77777777" w:rsidTr="00A63D2A">
        <w:tc>
          <w:tcPr>
            <w:tcW w:w="1384" w:type="dxa"/>
          </w:tcPr>
          <w:p w14:paraId="189F0144" w14:textId="15A20866" w:rsidR="00555A10" w:rsidRDefault="00555A10" w:rsidP="00EE3BE3">
            <w:pPr>
              <w:spacing w:before="100" w:beforeAutospacing="1" w:after="100" w:afterAutospacing="1" w:line="276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8A7CA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§ 11 ArbSchG</w:t>
            </w:r>
          </w:p>
        </w:tc>
        <w:tc>
          <w:tcPr>
            <w:tcW w:w="7904" w:type="dxa"/>
          </w:tcPr>
          <w:p w14:paraId="27004BF8" w14:textId="4B3AE99D" w:rsidR="00555A10" w:rsidRPr="008A7CA7" w:rsidRDefault="00555A10" w:rsidP="00EE3BE3">
            <w:pPr>
              <w:spacing w:before="100" w:beforeAutospacing="1" w:after="100" w:afterAutospacing="1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Ihr Arbeitgeber muss Ihren </w:t>
            </w:r>
            <w:r w:rsidR="00A63D2A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Kollegen 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ermöglichen, sich arbeitsmedizinisch untersuchen zu lassen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.</w:t>
            </w:r>
          </w:p>
        </w:tc>
      </w:tr>
      <w:tr w:rsidR="00555A10" w14:paraId="7060DBFA" w14:textId="77777777" w:rsidTr="00EE3BE3">
        <w:tc>
          <w:tcPr>
            <w:tcW w:w="9288" w:type="dxa"/>
            <w:gridSpan w:val="2"/>
            <w:shd w:val="clear" w:color="auto" w:fill="E8E8E8" w:themeFill="background2"/>
          </w:tcPr>
          <w:p w14:paraId="5D3FB71E" w14:textId="09C68091" w:rsidR="00555A10" w:rsidRPr="00555A10" w:rsidRDefault="00555A10" w:rsidP="00EE3BE3">
            <w:pPr>
              <w:spacing w:before="100" w:beforeAutospacing="1" w:after="100" w:afterAutospacing="1" w:line="276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8A7CA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Die Verordnung zu</w:t>
            </w:r>
            <w:r w:rsidR="00B3789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r</w:t>
            </w:r>
            <w:r w:rsidRPr="008A7CA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B3789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a</w:t>
            </w:r>
            <w:r w:rsidRPr="008A7CA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rbeitsmedizinischen Vorsorge</w:t>
            </w:r>
            <w:r w:rsidR="0027687D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br/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Die </w:t>
            </w:r>
            <w:proofErr w:type="spellStart"/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ArbMedVV</w:t>
            </w:r>
            <w:proofErr w:type="spellEnd"/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konkretisiert d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ie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medizinischen </w:t>
            </w:r>
            <w:r w:rsidR="00A63D2A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Un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tersuchungen und die Pflichten des Betriebsarztes. Diese dienen zur Früherkennung und Verhinderung von arbeitsbedingten Erkrankungen und regeln, welche Informationen der Betriebsarzt </w:t>
            </w:r>
            <w:r w:rsidR="00A63D2A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Ihrem 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Arbeitgeber mitteilen darf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. Dies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wird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in der aktuellen DGUV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-</w:t>
            </w:r>
            <w:r w:rsidR="00A63D2A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Empfehlung beschrieben</w:t>
            </w:r>
            <w:r w:rsidR="00B37896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:</w:t>
            </w:r>
            <w:r w:rsidR="00A63D2A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hyperlink r:id="rId5" w:tgtFrame="_blank" w:history="1">
              <w:r w:rsidRPr="00555A10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https://kurzlinks.de/ychc</w:t>
              </w:r>
            </w:hyperlink>
          </w:p>
        </w:tc>
      </w:tr>
      <w:tr w:rsidR="00555A10" w14:paraId="05E586C4" w14:textId="77777777" w:rsidTr="00EE3BE3">
        <w:tc>
          <w:tcPr>
            <w:tcW w:w="9288" w:type="dxa"/>
            <w:gridSpan w:val="2"/>
            <w:shd w:val="clear" w:color="auto" w:fill="E8E8E8" w:themeFill="background2"/>
          </w:tcPr>
          <w:p w14:paraId="3BCEC197" w14:textId="4257BA69" w:rsidR="00555A10" w:rsidRPr="008A7CA7" w:rsidRDefault="0027687D" w:rsidP="00EE3BE3">
            <w:pPr>
              <w:spacing w:before="100" w:beforeAutospacing="1" w:after="100" w:afterAutospacing="1" w:line="276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</w:pPr>
            <w:r w:rsidRPr="008A7CA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Die Vorschrift 2 der Deutschen Gesetzlichen Unfallversicherung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br/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Die </w:t>
            </w:r>
            <w:r w:rsidR="008420AF"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DGUV V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2 konkretisiert d</w:t>
            </w:r>
            <w:r w:rsidR="00A63D2A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en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 betriebsärztlichen Betreuungsumfang in Ihrem Betrieb. Dieser ist abhängig von der Anzahl der Kollegen, der Branche und der Betriebsart. Bei über 10 Beschäftigten teilt sich die </w:t>
            </w:r>
            <w:r w:rsidR="00A63D2A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B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etreuungszeit in eine Grundbetreuung und eine branchenspezifische Betreuung auf. </w:t>
            </w:r>
            <w:r w:rsidR="00A63D2A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So 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hat sich jede Berufsgenossenschaft die DGUV V2 auf die Bedürfnisse ihrer Branche angepasst</w:t>
            </w:r>
            <w:r w:rsidR="00A63D2A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 xml:space="preserve">. Fragen Sie daher bei Ihrer BG nach. </w:t>
            </w:r>
            <w:r w:rsidRPr="008A7CA7">
              <w:rPr>
                <w:rFonts w:ascii="Calibri" w:eastAsia="Times New Roman" w:hAnsi="Calibri" w:cs="Calibri"/>
                <w:kern w:val="0"/>
                <w:sz w:val="18"/>
                <w:szCs w:val="18"/>
                <w:lang w:eastAsia="de-DE"/>
                <w14:ligatures w14:val="none"/>
              </w:rPr>
              <w:t>Darüber hinaus konkretisiert die DGUV V2 auch nochmals die Inhalte und Aufgaben der Betriebsärzte nach dem ASiG aus Sicht der Unfallversicherungsträger.</w:t>
            </w:r>
          </w:p>
        </w:tc>
      </w:tr>
      <w:tr w:rsidR="0027687D" w:rsidRPr="0027687D" w14:paraId="26189DC2" w14:textId="77777777" w:rsidTr="0087625A">
        <w:tc>
          <w:tcPr>
            <w:tcW w:w="9288" w:type="dxa"/>
            <w:gridSpan w:val="2"/>
          </w:tcPr>
          <w:p w14:paraId="201A2560" w14:textId="6FD8AA28" w:rsidR="0027687D" w:rsidRPr="0027687D" w:rsidRDefault="00B37896" w:rsidP="00EE3BE3">
            <w:pPr>
              <w:spacing w:before="100" w:beforeAutospacing="1" w:after="100" w:afterAutospacing="1" w:line="276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B3789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premium.vnr.de</w:t>
            </w:r>
            <w:r w:rsidRPr="00B3789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B3789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|</w:t>
            </w:r>
            <w:r w:rsidRPr="00B3789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 </w:t>
            </w:r>
            <w:r w:rsidRPr="00B37896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Gesetzliche Grundlagen Aufgaben Betriebsarzt</w:t>
            </w:r>
          </w:p>
        </w:tc>
      </w:tr>
    </w:tbl>
    <w:p w14:paraId="1DAF97BB" w14:textId="77777777" w:rsidR="007A5896" w:rsidRPr="008A7CA7" w:rsidRDefault="007A5896" w:rsidP="00EE3BE3">
      <w:pPr>
        <w:spacing w:before="100" w:beforeAutospacing="1" w:after="100" w:afterAutospacing="1" w:line="276" w:lineRule="auto"/>
        <w:textAlignment w:val="baseline"/>
        <w:rPr>
          <w:rFonts w:ascii="Calibri" w:hAnsi="Calibri" w:cs="Calibri"/>
          <w:sz w:val="18"/>
          <w:szCs w:val="18"/>
        </w:rPr>
      </w:pPr>
    </w:p>
    <w:sectPr w:rsidR="007A5896" w:rsidRPr="008A7C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584D"/>
    <w:multiLevelType w:val="multilevel"/>
    <w:tmpl w:val="7F6E3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86263C"/>
    <w:multiLevelType w:val="hybridMultilevel"/>
    <w:tmpl w:val="0672A2A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465E6D"/>
    <w:multiLevelType w:val="multilevel"/>
    <w:tmpl w:val="A3E03B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87604B"/>
    <w:multiLevelType w:val="multilevel"/>
    <w:tmpl w:val="B53C68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EA5C82"/>
    <w:multiLevelType w:val="multilevel"/>
    <w:tmpl w:val="6C16E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4946166">
    <w:abstractNumId w:val="0"/>
  </w:num>
  <w:num w:numId="2" w16cid:durableId="1743020474">
    <w:abstractNumId w:val="4"/>
  </w:num>
  <w:num w:numId="3" w16cid:durableId="2088182945">
    <w:abstractNumId w:val="3"/>
  </w:num>
  <w:num w:numId="4" w16cid:durableId="1206943106">
    <w:abstractNumId w:val="2"/>
  </w:num>
  <w:num w:numId="5" w16cid:durableId="902567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CA7"/>
    <w:rsid w:val="001F03CD"/>
    <w:rsid w:val="0027687D"/>
    <w:rsid w:val="00555A10"/>
    <w:rsid w:val="00585EF7"/>
    <w:rsid w:val="005D2310"/>
    <w:rsid w:val="006F302E"/>
    <w:rsid w:val="007A3270"/>
    <w:rsid w:val="007A5896"/>
    <w:rsid w:val="008420AF"/>
    <w:rsid w:val="008A7CA7"/>
    <w:rsid w:val="0091003A"/>
    <w:rsid w:val="009F4E03"/>
    <w:rsid w:val="00A63D2A"/>
    <w:rsid w:val="00B37896"/>
    <w:rsid w:val="00CF72E9"/>
    <w:rsid w:val="00E72733"/>
    <w:rsid w:val="00EE3BE3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26A2E0"/>
  <w15:chartTrackingRefBased/>
  <w15:docId w15:val="{AB3DA735-18E4-487F-8595-C6DC5706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A7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7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7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7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7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7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7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7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7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7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7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7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7CA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7CA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7C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7C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7C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7C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A7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A7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7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7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A7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A7C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A7C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A7CA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A7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A7CA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A7CA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rd"/>
    <w:rsid w:val="008A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8A7CA7"/>
  </w:style>
  <w:style w:type="character" w:customStyle="1" w:styleId="eop">
    <w:name w:val="eop"/>
    <w:basedOn w:val="Absatz-Standardschriftart"/>
    <w:rsid w:val="008A7CA7"/>
  </w:style>
  <w:style w:type="character" w:customStyle="1" w:styleId="scxw263510907">
    <w:name w:val="scxw263510907"/>
    <w:basedOn w:val="Absatz-Standardschriftart"/>
    <w:rsid w:val="008A7CA7"/>
  </w:style>
  <w:style w:type="table" w:styleId="Tabellenraster">
    <w:name w:val="Table Grid"/>
    <w:basedOn w:val="NormaleTabelle"/>
    <w:uiPriority w:val="39"/>
    <w:rsid w:val="008A7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555A10"/>
    <w:rPr>
      <w:color w:val="0000FF"/>
      <w:u w:val="single"/>
    </w:rPr>
  </w:style>
  <w:style w:type="character" w:customStyle="1" w:styleId="ng-star-inserted">
    <w:name w:val="ng-star-inserted"/>
    <w:basedOn w:val="Absatz-Standardschriftart"/>
    <w:rsid w:val="00B3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7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98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1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57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0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8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8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50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85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99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9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2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8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3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5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33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2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0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urzlinks.de/ych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Sybille Kalinka</cp:lastModifiedBy>
  <cp:revision>3</cp:revision>
  <dcterms:created xsi:type="dcterms:W3CDTF">2024-10-20T13:01:00Z</dcterms:created>
  <dcterms:modified xsi:type="dcterms:W3CDTF">2024-10-20T13:07:00Z</dcterms:modified>
</cp:coreProperties>
</file>