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66BBE" w14:textId="0B7D987A" w:rsidR="00EA4C1B" w:rsidRDefault="00B647E9">
      <w:r>
        <w:t>BRA-12-2024-S.8</w:t>
      </w:r>
    </w:p>
    <w:p w14:paraId="34973563" w14:textId="77777777" w:rsidR="00B647E9" w:rsidRDefault="00B647E9"/>
    <w:p w14:paraId="4ACFAFFD" w14:textId="77777777" w:rsidR="00B647E9" w:rsidRPr="00DA13F9" w:rsidRDefault="00B647E9" w:rsidP="00B647E9">
      <w:pPr>
        <w:rPr>
          <w:b/>
          <w:bCs/>
        </w:rPr>
      </w:pPr>
      <w:r w:rsidRPr="00DA13F9">
        <w:rPr>
          <w:b/>
          <w:bCs/>
        </w:rPr>
        <w:t>Übersicht: Ihre 6 wichtigsten Pflichten</w:t>
      </w:r>
    </w:p>
    <w:p w14:paraId="1C9F4A8A" w14:textId="77777777" w:rsidR="00B647E9" w:rsidRDefault="00B647E9" w:rsidP="00B647E9"/>
    <w:tbl>
      <w:tblPr>
        <w:tblStyle w:val="Tabellenraster"/>
        <w:tblW w:w="0" w:type="auto"/>
        <w:tblLook w:val="04A0" w:firstRow="1" w:lastRow="0" w:firstColumn="1" w:lastColumn="0" w:noHBand="0" w:noVBand="1"/>
      </w:tblPr>
      <w:tblGrid>
        <w:gridCol w:w="4528"/>
        <w:gridCol w:w="4528"/>
      </w:tblGrid>
      <w:tr w:rsidR="00B647E9" w14:paraId="47B8DC4D" w14:textId="77777777" w:rsidTr="00941671">
        <w:tc>
          <w:tcPr>
            <w:tcW w:w="4528" w:type="dxa"/>
          </w:tcPr>
          <w:p w14:paraId="25FB4A81" w14:textId="77777777" w:rsidR="00B647E9" w:rsidRPr="00DA13F9" w:rsidRDefault="00B647E9" w:rsidP="00941671">
            <w:pPr>
              <w:rPr>
                <w:b/>
                <w:bCs/>
              </w:rPr>
            </w:pPr>
            <w:r w:rsidRPr="00DA13F9">
              <w:rPr>
                <w:b/>
                <w:bCs/>
              </w:rPr>
              <w:t>Ihre Pflicht</w:t>
            </w:r>
          </w:p>
        </w:tc>
        <w:tc>
          <w:tcPr>
            <w:tcW w:w="4528" w:type="dxa"/>
          </w:tcPr>
          <w:p w14:paraId="3465FD72" w14:textId="77777777" w:rsidR="00B647E9" w:rsidRPr="00DA13F9" w:rsidRDefault="00B647E9" w:rsidP="00941671">
            <w:pPr>
              <w:rPr>
                <w:b/>
                <w:bCs/>
              </w:rPr>
            </w:pPr>
            <w:r w:rsidRPr="00DA13F9">
              <w:rPr>
                <w:b/>
                <w:bCs/>
              </w:rPr>
              <w:t>Erläuterung</w:t>
            </w:r>
          </w:p>
        </w:tc>
      </w:tr>
      <w:tr w:rsidR="00B647E9" w14:paraId="30F31663" w14:textId="77777777" w:rsidTr="00941671">
        <w:tc>
          <w:tcPr>
            <w:tcW w:w="4528" w:type="dxa"/>
          </w:tcPr>
          <w:p w14:paraId="19E8404E" w14:textId="77777777" w:rsidR="00B647E9" w:rsidRDefault="00B647E9" w:rsidP="00941671">
            <w:pPr>
              <w:pStyle w:val="Listenabsatz"/>
              <w:numPr>
                <w:ilvl w:val="0"/>
                <w:numId w:val="2"/>
              </w:numPr>
            </w:pPr>
            <w:r>
              <w:t>Friedenspflicht</w:t>
            </w:r>
          </w:p>
        </w:tc>
        <w:tc>
          <w:tcPr>
            <w:tcW w:w="4528" w:type="dxa"/>
          </w:tcPr>
          <w:p w14:paraId="7DF7AB00" w14:textId="77777777" w:rsidR="00B647E9" w:rsidRDefault="00B647E9" w:rsidP="00941671">
            <w:r>
              <w:t xml:space="preserve">Als Betriebsrat sind Sie nach § 2 Abs. 1 BetrVG i.V.m. § 74 Abs. 2 BetrVG gehalten, die betriebliche Friedenspflicht zu wahren. </w:t>
            </w:r>
          </w:p>
          <w:p w14:paraId="216827D2" w14:textId="77777777" w:rsidR="00B647E9" w:rsidRDefault="00B647E9" w:rsidP="00941671">
            <w:r>
              <w:t>Dazu gehört auch, dass Sie in Ihrer Funktion als Betriebsrat nicht streiken.</w:t>
            </w:r>
          </w:p>
          <w:p w14:paraId="33CC70B1" w14:textId="77777777" w:rsidR="00B647E9" w:rsidRDefault="00B647E9" w:rsidP="00941671">
            <w:r>
              <w:t>Unterlassen Sie deshalb unbedingt, die folgenden 3 Vorgehensweisen:</w:t>
            </w:r>
          </w:p>
          <w:p w14:paraId="450C0221" w14:textId="77777777" w:rsidR="00B647E9" w:rsidRDefault="00B647E9" w:rsidP="00941671">
            <w:pPr>
              <w:pStyle w:val="Listenabsatz"/>
              <w:numPr>
                <w:ilvl w:val="0"/>
                <w:numId w:val="1"/>
              </w:numPr>
            </w:pPr>
            <w:r>
              <w:t>Nehmen Sie als Betriebsrat nie an einem Streik teil.</w:t>
            </w:r>
          </w:p>
          <w:p w14:paraId="78BA7EEE" w14:textId="77777777" w:rsidR="00B647E9" w:rsidRDefault="00B647E9" w:rsidP="00941671">
            <w:pPr>
              <w:pStyle w:val="Listenabsatz"/>
              <w:numPr>
                <w:ilvl w:val="0"/>
                <w:numId w:val="1"/>
              </w:numPr>
            </w:pPr>
            <w:r>
              <w:t>Beteiligen Sie sich nicht an der Organisation von Arbeitskampfmaßnahmen gegen Ihren Arbeitgeber.</w:t>
            </w:r>
          </w:p>
          <w:p w14:paraId="25A47396" w14:textId="77777777" w:rsidR="00B647E9" w:rsidRDefault="00B647E9" w:rsidP="00941671">
            <w:pPr>
              <w:pStyle w:val="Listenabsatz"/>
              <w:numPr>
                <w:ilvl w:val="0"/>
                <w:numId w:val="1"/>
              </w:numPr>
            </w:pPr>
            <w:r>
              <w:t>Stören Sie niemals den Arbeitsablauf oder Betriebsfrieden.</w:t>
            </w:r>
          </w:p>
        </w:tc>
      </w:tr>
      <w:tr w:rsidR="00B647E9" w14:paraId="3E782B9C" w14:textId="77777777" w:rsidTr="00941671">
        <w:tc>
          <w:tcPr>
            <w:tcW w:w="4528" w:type="dxa"/>
          </w:tcPr>
          <w:p w14:paraId="78AEA615" w14:textId="77777777" w:rsidR="00B647E9" w:rsidRDefault="00B647E9" w:rsidP="00941671">
            <w:pPr>
              <w:pStyle w:val="Listenabsatz"/>
              <w:numPr>
                <w:ilvl w:val="0"/>
                <w:numId w:val="2"/>
              </w:numPr>
            </w:pPr>
            <w:r>
              <w:t>Vertrauensvolle Zusammenarbeit</w:t>
            </w:r>
          </w:p>
        </w:tc>
        <w:tc>
          <w:tcPr>
            <w:tcW w:w="4528" w:type="dxa"/>
          </w:tcPr>
          <w:p w14:paraId="5F2676D4" w14:textId="77777777" w:rsidR="00B647E9" w:rsidRDefault="00B647E9" w:rsidP="00941671">
            <w:r>
              <w:t>Als Betriebsrat sind Sie verpflichtet, für Ihren Arbeitgeber und nicht gegen ihn zu arbeiten. Vertrauensvolle Zusammenarbeit bedeutet weit mehr als nur ein Nebeneinander. Keine Seite darf gegen die andere arbeiten, um sie in ihrer Funktion innerhalb der Betriebsverfassung nicht zu stören. Als Betriebsrat müssen Sie deshalb auch bei der Verfolgung der Arbeitnehmerinteressen auf die betrieblichen Interessen achten. Ein einseitiger Eingriff in die Leitung des Betriebs ist Ihnen nach § 77 Abs. 2 BetrVG nicht erlaubt. Natürlich sind Sie auch verpflichtet, sämtliche Tätigkeiten zu unterlassen, die den betrieblichen Ablauf oder den betrieblichen Frieden stören könnten.</w:t>
            </w:r>
          </w:p>
          <w:p w14:paraId="61A97EF3" w14:textId="77777777" w:rsidR="00B647E9" w:rsidRDefault="00B647E9" w:rsidP="00941671">
            <w:r>
              <w:t>Das bedeutet für Sie: Sie müssen einerseits die Interessen des Betriebs und andererseits das Wohl Ihrer Kolleginnen und Kollegen, die Sie vertreten, berücksichtigen.</w:t>
            </w:r>
          </w:p>
        </w:tc>
      </w:tr>
      <w:tr w:rsidR="00B647E9" w14:paraId="5766E8D2" w14:textId="77777777" w:rsidTr="00941671">
        <w:tc>
          <w:tcPr>
            <w:tcW w:w="4528" w:type="dxa"/>
          </w:tcPr>
          <w:p w14:paraId="232DD8C4" w14:textId="77777777" w:rsidR="00B647E9" w:rsidRDefault="00B647E9" w:rsidP="00941671">
            <w:pPr>
              <w:pStyle w:val="Listenabsatz"/>
              <w:numPr>
                <w:ilvl w:val="0"/>
                <w:numId w:val="2"/>
              </w:numPr>
            </w:pPr>
            <w:r>
              <w:t>Interessen Ihrer Kolleginnen und Kollegen wahren</w:t>
            </w:r>
          </w:p>
        </w:tc>
        <w:tc>
          <w:tcPr>
            <w:tcW w:w="4528" w:type="dxa"/>
          </w:tcPr>
          <w:p w14:paraId="30E1898E" w14:textId="77777777" w:rsidR="00B647E9" w:rsidRDefault="00B647E9" w:rsidP="00941671">
            <w:r>
              <w:t xml:space="preserve">Eine Ihrer wichtigsten Aufgaben ist es, ein Gespür dafür zu entwickeln, „wo der </w:t>
            </w:r>
            <w:r>
              <w:lastRenderedPageBreak/>
              <w:t>Schuh Ihrer Kolleginnen und Kollegen am meisten drückt“ und die entsprechenden Belange möglichst durchzusetzen.</w:t>
            </w:r>
          </w:p>
        </w:tc>
      </w:tr>
      <w:tr w:rsidR="00B647E9" w14:paraId="30B5B0EC" w14:textId="77777777" w:rsidTr="00941671">
        <w:tc>
          <w:tcPr>
            <w:tcW w:w="4528" w:type="dxa"/>
          </w:tcPr>
          <w:p w14:paraId="21FEB122" w14:textId="77777777" w:rsidR="00B647E9" w:rsidRDefault="00B647E9" w:rsidP="00941671">
            <w:pPr>
              <w:pStyle w:val="Listenabsatz"/>
              <w:numPr>
                <w:ilvl w:val="0"/>
                <w:numId w:val="2"/>
              </w:numPr>
            </w:pPr>
            <w:r>
              <w:lastRenderedPageBreak/>
              <w:t>Verschwiegenheitspflicht</w:t>
            </w:r>
          </w:p>
        </w:tc>
        <w:tc>
          <w:tcPr>
            <w:tcW w:w="4528" w:type="dxa"/>
          </w:tcPr>
          <w:p w14:paraId="42DE2DF5" w14:textId="77777777" w:rsidR="00B647E9" w:rsidRDefault="00B647E9" w:rsidP="00941671">
            <w:r>
              <w:t>Der Gesetzgeber hat Ihnen nach § 79 Abs. 1 BetrVG eine besondere Geheimhaltungspflicht auferlegt. Je enger und vertrauensvoller die Zusammenarbeit mit Ihrem Arbeitgeber ist, desto mehr Einzelheiten erfahren Sie zwangsläufig über den Betrieb, die häufig über das Gremium hinaus zumindest anfangs geheim gehalten werden sollen.</w:t>
            </w:r>
          </w:p>
          <w:p w14:paraId="6095EA37" w14:textId="77777777" w:rsidR="00B647E9" w:rsidRDefault="00B647E9" w:rsidP="00941671">
            <w:r>
              <w:t>Es ist deshalb Ihre Pflicht, Betriebs- und Geschäftsgeheimnisse, die Sie im Rahmen Ihrer Betriebsratstätigkeit erfahren, für sich zu behalten.</w:t>
            </w:r>
          </w:p>
          <w:p w14:paraId="7247347E" w14:textId="77777777" w:rsidR="00B647E9" w:rsidRDefault="00B647E9" w:rsidP="00941671">
            <w:r>
              <w:t xml:space="preserve">Ihr Arbeitgeber muss Ihnen zu den jeweiligen Inhalten einen Hinweis erteilt haben, dass sie geheim zu halten sind. </w:t>
            </w:r>
          </w:p>
        </w:tc>
      </w:tr>
      <w:tr w:rsidR="00B647E9" w14:paraId="12AF6082" w14:textId="77777777" w:rsidTr="00941671">
        <w:tc>
          <w:tcPr>
            <w:tcW w:w="4528" w:type="dxa"/>
          </w:tcPr>
          <w:p w14:paraId="45511DD5" w14:textId="77777777" w:rsidR="00B647E9" w:rsidRDefault="00B647E9" w:rsidP="00941671">
            <w:pPr>
              <w:pStyle w:val="Listenabsatz"/>
              <w:numPr>
                <w:ilvl w:val="0"/>
                <w:numId w:val="2"/>
              </w:numPr>
            </w:pPr>
            <w:r>
              <w:t>Politik bleibt privat</w:t>
            </w:r>
          </w:p>
        </w:tc>
        <w:tc>
          <w:tcPr>
            <w:tcW w:w="4528" w:type="dxa"/>
          </w:tcPr>
          <w:p w14:paraId="53F254E3" w14:textId="77777777" w:rsidR="00B647E9" w:rsidRDefault="00B647E9" w:rsidP="00941671">
            <w:r>
              <w:t>Nach § 74 Abs. 2 Satz 3 BetrVG haben Sie als Betriebsrat jede parteipolitische Betätigung zu unterlassen</w:t>
            </w:r>
          </w:p>
        </w:tc>
      </w:tr>
      <w:tr w:rsidR="00B647E9" w14:paraId="17899256" w14:textId="77777777" w:rsidTr="00941671">
        <w:tc>
          <w:tcPr>
            <w:tcW w:w="4528" w:type="dxa"/>
          </w:tcPr>
          <w:p w14:paraId="6D161F1C" w14:textId="77777777" w:rsidR="00B647E9" w:rsidRDefault="00B647E9" w:rsidP="00941671">
            <w:pPr>
              <w:pStyle w:val="Listenabsatz"/>
              <w:numPr>
                <w:ilvl w:val="0"/>
                <w:numId w:val="2"/>
              </w:numPr>
            </w:pPr>
            <w:r>
              <w:t>Meldepflichten sind einzuhalten</w:t>
            </w:r>
          </w:p>
        </w:tc>
        <w:tc>
          <w:tcPr>
            <w:tcW w:w="4528" w:type="dxa"/>
          </w:tcPr>
          <w:p w14:paraId="04B464BE" w14:textId="77777777" w:rsidR="00B647E9" w:rsidRDefault="00B647E9" w:rsidP="00941671">
            <w:r>
              <w:t xml:space="preserve">Beschäftigt Ihr Arbeitgeber mehr als 200 Arbeitnehmer, muss er nach § 38 Abs. 1 BetrVG mindestens 1 Betriebsratsmitglied von seinen danach dem Arbeitsvertrag geschuldeten Pflichten entbinden und freistellen. Wie alle anderen Kollegen, die sich nur zeitweise für Betriebsratsangelegenheiten freistellen lassen, sollte er auch penibel darauf achten, dass er sich in jedem Fall ab- und wieder anmeldet. Während die nicht freigestellten Kolleginnen und Kollegen sich üblicherweise bei ihren Vorgesetzten an- bzw. abmelden müssen, muss der freigestellte Kollege klären, bei wem er das für die Tätigkeiten außerhalb des Betriebs tun muss. </w:t>
            </w:r>
          </w:p>
        </w:tc>
      </w:tr>
    </w:tbl>
    <w:p w14:paraId="06E2EDF6" w14:textId="77777777" w:rsidR="00B647E9" w:rsidRDefault="00B647E9"/>
    <w:sectPr w:rsidR="00B647E9"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52D7C"/>
    <w:multiLevelType w:val="hybridMultilevel"/>
    <w:tmpl w:val="2C6210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C025DA"/>
    <w:multiLevelType w:val="hybridMultilevel"/>
    <w:tmpl w:val="4A7A9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91774543">
    <w:abstractNumId w:val="0"/>
  </w:num>
  <w:num w:numId="2" w16cid:durableId="134350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E9"/>
    <w:rsid w:val="00153551"/>
    <w:rsid w:val="003E030B"/>
    <w:rsid w:val="00664AAB"/>
    <w:rsid w:val="00685127"/>
    <w:rsid w:val="00772D51"/>
    <w:rsid w:val="0094513C"/>
    <w:rsid w:val="00B647E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FD02"/>
  <w15:chartTrackingRefBased/>
  <w15:docId w15:val="{B6AB50BB-708E-A142-B2F3-DF1F8E28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4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4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47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47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47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47E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47E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47E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47E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47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47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47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47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47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47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47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47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47E9"/>
    <w:rPr>
      <w:rFonts w:eastAsiaTheme="majorEastAsia" w:cstheme="majorBidi"/>
      <w:color w:val="272727" w:themeColor="text1" w:themeTint="D8"/>
    </w:rPr>
  </w:style>
  <w:style w:type="paragraph" w:styleId="Titel">
    <w:name w:val="Title"/>
    <w:basedOn w:val="Standard"/>
    <w:next w:val="Standard"/>
    <w:link w:val="TitelZchn"/>
    <w:uiPriority w:val="10"/>
    <w:qFormat/>
    <w:rsid w:val="00B647E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47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47E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47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47E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47E9"/>
    <w:rPr>
      <w:i/>
      <w:iCs/>
      <w:color w:val="404040" w:themeColor="text1" w:themeTint="BF"/>
    </w:rPr>
  </w:style>
  <w:style w:type="paragraph" w:styleId="Listenabsatz">
    <w:name w:val="List Paragraph"/>
    <w:basedOn w:val="Standard"/>
    <w:uiPriority w:val="72"/>
    <w:qFormat/>
    <w:rsid w:val="00B647E9"/>
    <w:pPr>
      <w:ind w:left="720"/>
      <w:contextualSpacing/>
    </w:pPr>
  </w:style>
  <w:style w:type="character" w:styleId="IntensiveHervorhebung">
    <w:name w:val="Intense Emphasis"/>
    <w:basedOn w:val="Absatz-Standardschriftart"/>
    <w:uiPriority w:val="21"/>
    <w:qFormat/>
    <w:rsid w:val="00B647E9"/>
    <w:rPr>
      <w:i/>
      <w:iCs/>
      <w:color w:val="0F4761" w:themeColor="accent1" w:themeShade="BF"/>
    </w:rPr>
  </w:style>
  <w:style w:type="paragraph" w:styleId="IntensivesZitat">
    <w:name w:val="Intense Quote"/>
    <w:basedOn w:val="Standard"/>
    <w:next w:val="Standard"/>
    <w:link w:val="IntensivesZitatZchn"/>
    <w:uiPriority w:val="30"/>
    <w:qFormat/>
    <w:rsid w:val="00B64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47E9"/>
    <w:rPr>
      <w:i/>
      <w:iCs/>
      <w:color w:val="0F4761" w:themeColor="accent1" w:themeShade="BF"/>
    </w:rPr>
  </w:style>
  <w:style w:type="character" w:styleId="IntensiverVerweis">
    <w:name w:val="Intense Reference"/>
    <w:basedOn w:val="Absatz-Standardschriftart"/>
    <w:uiPriority w:val="32"/>
    <w:qFormat/>
    <w:rsid w:val="00B647E9"/>
    <w:rPr>
      <w:b/>
      <w:bCs/>
      <w:smallCaps/>
      <w:color w:val="0F4761" w:themeColor="accent1" w:themeShade="BF"/>
      <w:spacing w:val="5"/>
    </w:rPr>
  </w:style>
  <w:style w:type="table" w:styleId="Tabellenraster">
    <w:name w:val="Table Grid"/>
    <w:basedOn w:val="NormaleTabelle"/>
    <w:uiPriority w:val="39"/>
    <w:rsid w:val="00B64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2678</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Ulrike Floßdorf</cp:lastModifiedBy>
  <cp:revision>2</cp:revision>
  <dcterms:created xsi:type="dcterms:W3CDTF">2024-12-10T17:37:00Z</dcterms:created>
  <dcterms:modified xsi:type="dcterms:W3CDTF">2024-12-10T17:37:00Z</dcterms:modified>
</cp:coreProperties>
</file>