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FBA04" w14:textId="43126F0D" w:rsidR="00EA4C1B" w:rsidRDefault="00DF0C7A">
      <w:r>
        <w:t>BRA-2-2025-S.8</w:t>
      </w:r>
    </w:p>
    <w:p w14:paraId="6001B0EB" w14:textId="77777777" w:rsidR="00DF0C7A" w:rsidRDefault="00DF0C7A"/>
    <w:tbl>
      <w:tblPr>
        <w:tblStyle w:val="Tabellenraster"/>
        <w:tblW w:w="0" w:type="auto"/>
        <w:tblLook w:val="04A0" w:firstRow="1" w:lastRow="0" w:firstColumn="1" w:lastColumn="0" w:noHBand="0" w:noVBand="1"/>
      </w:tblPr>
      <w:tblGrid>
        <w:gridCol w:w="4528"/>
        <w:gridCol w:w="4528"/>
      </w:tblGrid>
      <w:tr w:rsidR="00DF0C7A" w:rsidRPr="009C06C7" w14:paraId="1C712C28" w14:textId="77777777" w:rsidTr="00243D41">
        <w:tc>
          <w:tcPr>
            <w:tcW w:w="4528" w:type="dxa"/>
          </w:tcPr>
          <w:p w14:paraId="0A593A17" w14:textId="77777777" w:rsidR="00DF0C7A" w:rsidRPr="009C06C7" w:rsidRDefault="00DF0C7A" w:rsidP="00243D41">
            <w:pPr>
              <w:rPr>
                <w:b/>
                <w:bCs/>
              </w:rPr>
            </w:pPr>
            <w:r w:rsidRPr="009C06C7">
              <w:rPr>
                <w:b/>
                <w:bCs/>
              </w:rPr>
              <w:t>Was § 26 BDSG regelt</w:t>
            </w:r>
          </w:p>
        </w:tc>
        <w:tc>
          <w:tcPr>
            <w:tcW w:w="4528" w:type="dxa"/>
          </w:tcPr>
          <w:p w14:paraId="1C163EBA" w14:textId="77777777" w:rsidR="00DF0C7A" w:rsidRPr="009C06C7" w:rsidRDefault="00DF0C7A" w:rsidP="00243D41">
            <w:pPr>
              <w:rPr>
                <w:b/>
                <w:bCs/>
              </w:rPr>
            </w:pPr>
            <w:r w:rsidRPr="009C06C7">
              <w:rPr>
                <w:b/>
                <w:bCs/>
              </w:rPr>
              <w:t>Diese Anforderungen werden an § 26 Abs. 2 BDSG gestellt</w:t>
            </w:r>
          </w:p>
        </w:tc>
      </w:tr>
      <w:tr w:rsidR="00DF0C7A" w14:paraId="53C8EF33" w14:textId="77777777" w:rsidTr="00243D41">
        <w:tc>
          <w:tcPr>
            <w:tcW w:w="4528" w:type="dxa"/>
          </w:tcPr>
          <w:p w14:paraId="3CB7B20E" w14:textId="77777777" w:rsidR="00DF0C7A" w:rsidRDefault="00DF0C7A" w:rsidP="00243D41">
            <w:r>
              <w:t>§ 26 Abs. 8 BDSG regelt, wer Beschäftigte sind. Beschäftigte im Sinne dieses Gesetzes sind:</w:t>
            </w:r>
          </w:p>
          <w:p w14:paraId="6E368D6A" w14:textId="77777777" w:rsidR="00DF0C7A" w:rsidRDefault="00DF0C7A" w:rsidP="00243D41"/>
          <w:p w14:paraId="3DDBFC8A" w14:textId="77777777" w:rsidR="00DF0C7A" w:rsidRDefault="00DF0C7A" w:rsidP="00243D41">
            <w:pPr>
              <w:pStyle w:val="Listenabsatz"/>
              <w:numPr>
                <w:ilvl w:val="0"/>
                <w:numId w:val="1"/>
              </w:numPr>
            </w:pPr>
            <w:r>
              <w:t>Arbeitnehmerinnen und Arbeitnehmer, einschließlich der Leiharbeitnehmerinnen und Leiharbeitnehmer im Verhältnis zum Entleiher</w:t>
            </w:r>
          </w:p>
          <w:p w14:paraId="3B741CAA" w14:textId="77777777" w:rsidR="00DF0C7A" w:rsidRDefault="00DF0C7A" w:rsidP="00243D41">
            <w:pPr>
              <w:pStyle w:val="Listenabsatz"/>
              <w:numPr>
                <w:ilvl w:val="0"/>
                <w:numId w:val="1"/>
              </w:numPr>
            </w:pPr>
            <w:r>
              <w:t>Zu ihrer Berufsbildung Beschäftigte</w:t>
            </w:r>
          </w:p>
          <w:p w14:paraId="707C7A20" w14:textId="77777777" w:rsidR="00DF0C7A" w:rsidRDefault="00DF0C7A" w:rsidP="00243D41">
            <w:pPr>
              <w:pStyle w:val="Listenabsatz"/>
              <w:numPr>
                <w:ilvl w:val="0"/>
                <w:numId w:val="1"/>
              </w:numPr>
            </w:pPr>
            <w:r>
              <w:t>Teilnehmerinnen und Teilnehmer an Leistungen zur Teilhabe am Arbeitsleben sowie Abklärungen der beruflichen Eignung oder Arbeitserprobung (Rehabilitandinnen und Rehabilitanden)</w:t>
            </w:r>
          </w:p>
          <w:p w14:paraId="72660BB1" w14:textId="77777777" w:rsidR="00DF0C7A" w:rsidRDefault="00DF0C7A" w:rsidP="00243D41">
            <w:pPr>
              <w:pStyle w:val="Listenabsatz"/>
              <w:numPr>
                <w:ilvl w:val="0"/>
                <w:numId w:val="1"/>
              </w:numPr>
            </w:pPr>
            <w:r>
              <w:t>In anerkannten Werkstätten für behinderte Menschen Beschäftigte</w:t>
            </w:r>
          </w:p>
          <w:p w14:paraId="4FDB7F0F" w14:textId="77777777" w:rsidR="00DF0C7A" w:rsidRDefault="00DF0C7A" w:rsidP="00243D41">
            <w:pPr>
              <w:pStyle w:val="Listenabsatz"/>
              <w:numPr>
                <w:ilvl w:val="0"/>
                <w:numId w:val="1"/>
              </w:numPr>
            </w:pPr>
            <w:r>
              <w:t>Freiwillige, die einen Dienst nach dem Jugendfreiwilligengesetz oder dem Bundesfreiwilligendienstgesetz leisten</w:t>
            </w:r>
          </w:p>
          <w:p w14:paraId="32A642BC" w14:textId="77777777" w:rsidR="00DF0C7A" w:rsidRDefault="00DF0C7A" w:rsidP="00243D41">
            <w:pPr>
              <w:pStyle w:val="Listenabsatz"/>
              <w:numPr>
                <w:ilvl w:val="0"/>
                <w:numId w:val="1"/>
              </w:numPr>
            </w:pPr>
            <w:r>
              <w:t>Personen, die wegen ihrer wirtschaftlichen Unselbstständigkeit als arbeitnehmerähnliche Personen, anzusehen sind; zu diesen gehören auch die in Heimarbeit Beschäftigte und die ihnen Gleichgestellten</w:t>
            </w:r>
          </w:p>
          <w:p w14:paraId="2F5AE96F" w14:textId="77777777" w:rsidR="00DF0C7A" w:rsidRDefault="00DF0C7A" w:rsidP="00243D41">
            <w:pPr>
              <w:pStyle w:val="Listenabsatz"/>
              <w:numPr>
                <w:ilvl w:val="0"/>
                <w:numId w:val="1"/>
              </w:numPr>
            </w:pPr>
            <w:r>
              <w:t>Beamtinnen und Beamte des Bundes, Richterinnen und Richter des Bundes, Soldatinnen und Soldaten sowie Zivildienstleistende</w:t>
            </w:r>
          </w:p>
          <w:p w14:paraId="4DBA1792" w14:textId="77777777" w:rsidR="00DF0C7A" w:rsidRDefault="00DF0C7A" w:rsidP="00243D41">
            <w:pPr>
              <w:pStyle w:val="Listenabsatz"/>
              <w:numPr>
                <w:ilvl w:val="0"/>
                <w:numId w:val="1"/>
              </w:numPr>
            </w:pPr>
            <w:r>
              <w:t xml:space="preserve">Bewerberinnen und Bewerber für ein Beschäftigungsverhältnis sowie Personen, deren Beschäftigungsverhältnis beendet ist, gelten als Beschäftigte. </w:t>
            </w:r>
          </w:p>
          <w:p w14:paraId="77272A7B" w14:textId="77777777" w:rsidR="00DF0C7A" w:rsidRDefault="00DF0C7A" w:rsidP="00243D41"/>
          <w:p w14:paraId="3495A6D9" w14:textId="77777777" w:rsidR="00DF0C7A" w:rsidRDefault="00DF0C7A" w:rsidP="00243D41">
            <w:r>
              <w:t>Personenbezogene Daten dürfen „zum Zwecke des Beschäftigungsverhältnisses“ verarbeitet werden. Dies muss zur Ausübung oder Erfüllung der sich aus Gesetz oder Tarif- bzw. Betriebsvereinbarung ergebenden Rechte und Pflichten der Interessenvertretung der Beschäftigten erforderlich sein.</w:t>
            </w:r>
          </w:p>
          <w:p w14:paraId="6C2E978A" w14:textId="77777777" w:rsidR="00DF0C7A" w:rsidRDefault="00DF0C7A" w:rsidP="00243D41"/>
        </w:tc>
        <w:tc>
          <w:tcPr>
            <w:tcW w:w="4528" w:type="dxa"/>
          </w:tcPr>
          <w:p w14:paraId="527878A0" w14:textId="77777777" w:rsidR="00DF0C7A" w:rsidRDefault="00DF0C7A" w:rsidP="00243D41">
            <w:r>
              <w:lastRenderedPageBreak/>
              <w:t>Für die Beurteilung der Freiwilligkeit gelten nach § 26 Abs. 2 BDSG klar festgelegte Regeln:</w:t>
            </w:r>
          </w:p>
          <w:p w14:paraId="72B876C0" w14:textId="77777777" w:rsidR="00DF0C7A" w:rsidRDefault="00DF0C7A" w:rsidP="00243D41"/>
          <w:p w14:paraId="29B0A1C8" w14:textId="77777777" w:rsidR="00DF0C7A" w:rsidRDefault="00DF0C7A" w:rsidP="00243D41">
            <w:pPr>
              <w:pStyle w:val="Listenabsatz"/>
              <w:numPr>
                <w:ilvl w:val="0"/>
                <w:numId w:val="1"/>
              </w:numPr>
            </w:pPr>
            <w:r>
              <w:t>Es wird die im Beschäftigungsverhältnis bestehende Abhängigkeit des jeweiligen Kollegen berücksichtigt und die Umstände unter denen die Einwilligung erteilt wurde, geprüft.</w:t>
            </w:r>
          </w:p>
          <w:p w14:paraId="783B3D0F" w14:textId="77777777" w:rsidR="00DF0C7A" w:rsidRDefault="00DF0C7A" w:rsidP="00243D41">
            <w:pPr>
              <w:pStyle w:val="Listenabsatz"/>
              <w:numPr>
                <w:ilvl w:val="0"/>
                <w:numId w:val="1"/>
              </w:numPr>
            </w:pPr>
            <w:r>
              <w:t>Freiwilligkeit kann auch vorliegen, wenn für den Beschäftigten ein rechtlicher oder wirtschaftlicher Vorteil erreicht wird oder Arbeitgeber und Beschäftigte gleichgelagerte Interessen verfolgen.</w:t>
            </w:r>
          </w:p>
          <w:p w14:paraId="13A26CA0" w14:textId="77777777" w:rsidR="00DF0C7A" w:rsidRDefault="00DF0C7A" w:rsidP="00243D41">
            <w:pPr>
              <w:pStyle w:val="Listenabsatz"/>
              <w:numPr>
                <w:ilvl w:val="0"/>
                <w:numId w:val="1"/>
              </w:numPr>
            </w:pPr>
            <w:r>
              <w:t>Die Einwilligung bedarf der Schriftform, soweit nicht wegen besonderer Umstände eine andere Form angemessen ist. Ihr Arbeitgeber muss Sie und Ihre Kolleginnen und Kollegen über den Zweck der Datenverarbeitung und über Ihr Widerrufsrecht nach Art. 7 Abs. 3 der Verordnung (EU) 2016/679 schriftlich aufklären.</w:t>
            </w:r>
          </w:p>
          <w:p w14:paraId="592DF97C" w14:textId="77777777" w:rsidR="00DF0C7A" w:rsidRDefault="00DF0C7A" w:rsidP="00243D41"/>
        </w:tc>
      </w:tr>
    </w:tbl>
    <w:p w14:paraId="137BAAEE" w14:textId="77777777" w:rsidR="00DF0C7A" w:rsidRDefault="00DF0C7A"/>
    <w:sectPr w:rsidR="00DF0C7A"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04C00"/>
    <w:multiLevelType w:val="hybridMultilevel"/>
    <w:tmpl w:val="8BBE82A6"/>
    <w:lvl w:ilvl="0" w:tplc="0842401A">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4723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7A"/>
    <w:rsid w:val="00153551"/>
    <w:rsid w:val="00664AAB"/>
    <w:rsid w:val="0094513C"/>
    <w:rsid w:val="009B7731"/>
    <w:rsid w:val="00A94F99"/>
    <w:rsid w:val="00AB64A4"/>
    <w:rsid w:val="00C16120"/>
    <w:rsid w:val="00DF0C7A"/>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02DB0"/>
  <w15:chartTrackingRefBased/>
  <w15:docId w15:val="{213F853B-A661-6C44-9D29-7C060529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F0C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F0C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0C7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0C7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0C7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0C7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0C7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F0C7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0C7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0C7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F0C7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0C7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0C7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0C7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F0C7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0C7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F0C7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0C7A"/>
    <w:rPr>
      <w:rFonts w:eastAsiaTheme="majorEastAsia" w:cstheme="majorBidi"/>
      <w:color w:val="272727" w:themeColor="text1" w:themeTint="D8"/>
    </w:rPr>
  </w:style>
  <w:style w:type="paragraph" w:styleId="Titel">
    <w:name w:val="Title"/>
    <w:basedOn w:val="Standard"/>
    <w:next w:val="Standard"/>
    <w:link w:val="TitelZchn"/>
    <w:uiPriority w:val="10"/>
    <w:qFormat/>
    <w:rsid w:val="00DF0C7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F0C7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F0C7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0C7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F0C7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0C7A"/>
    <w:rPr>
      <w:i/>
      <w:iCs/>
      <w:color w:val="404040" w:themeColor="text1" w:themeTint="BF"/>
    </w:rPr>
  </w:style>
  <w:style w:type="paragraph" w:styleId="Listenabsatz">
    <w:name w:val="List Paragraph"/>
    <w:basedOn w:val="Standard"/>
    <w:uiPriority w:val="34"/>
    <w:qFormat/>
    <w:rsid w:val="00DF0C7A"/>
    <w:pPr>
      <w:ind w:left="720"/>
      <w:contextualSpacing/>
    </w:pPr>
  </w:style>
  <w:style w:type="character" w:styleId="IntensiveHervorhebung">
    <w:name w:val="Intense Emphasis"/>
    <w:basedOn w:val="Absatz-Standardschriftart"/>
    <w:uiPriority w:val="21"/>
    <w:qFormat/>
    <w:rsid w:val="00DF0C7A"/>
    <w:rPr>
      <w:i/>
      <w:iCs/>
      <w:color w:val="0F4761" w:themeColor="accent1" w:themeShade="BF"/>
    </w:rPr>
  </w:style>
  <w:style w:type="paragraph" w:styleId="IntensivesZitat">
    <w:name w:val="Intense Quote"/>
    <w:basedOn w:val="Standard"/>
    <w:next w:val="Standard"/>
    <w:link w:val="IntensivesZitatZchn"/>
    <w:uiPriority w:val="30"/>
    <w:qFormat/>
    <w:rsid w:val="00DF0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0C7A"/>
    <w:rPr>
      <w:i/>
      <w:iCs/>
      <w:color w:val="0F4761" w:themeColor="accent1" w:themeShade="BF"/>
    </w:rPr>
  </w:style>
  <w:style w:type="character" w:styleId="IntensiverVerweis">
    <w:name w:val="Intense Reference"/>
    <w:basedOn w:val="Absatz-Standardschriftart"/>
    <w:uiPriority w:val="32"/>
    <w:qFormat/>
    <w:rsid w:val="00DF0C7A"/>
    <w:rPr>
      <w:b/>
      <w:bCs/>
      <w:smallCaps/>
      <w:color w:val="0F4761" w:themeColor="accent1" w:themeShade="BF"/>
      <w:spacing w:val="5"/>
    </w:rPr>
  </w:style>
  <w:style w:type="table" w:styleId="Tabellenraster">
    <w:name w:val="Table Grid"/>
    <w:basedOn w:val="NormaleTabelle"/>
    <w:uiPriority w:val="39"/>
    <w:rsid w:val="00DF0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1925</Characters>
  <Application>Microsoft Office Word</Application>
  <DocSecurity>0</DocSecurity>
  <Lines>16</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2025-02-07T08:36:00Z</dcterms:created>
  <dcterms:modified xsi:type="dcterms:W3CDTF">2025-02-07T08:36:00Z</dcterms:modified>
</cp:coreProperties>
</file>