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7796"/>
      </w:tblGrid>
      <w:tr w:rsidR="009250A5" w:rsidRPr="00955DD4" w14:paraId="7A099DA6" w14:textId="77777777" w:rsidTr="00EC0020">
        <w:tc>
          <w:tcPr>
            <w:tcW w:w="9067" w:type="dxa"/>
            <w:gridSpan w:val="2"/>
          </w:tcPr>
          <w:p w14:paraId="18EDE8D3" w14:textId="515BF762" w:rsidR="009250A5" w:rsidRPr="00955DD4" w:rsidRDefault="009250A5" w:rsidP="00EC0020">
            <w:pPr>
              <w:spacing w:after="0"/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</w:pPr>
            <w:r w:rsidRPr="00955DD4"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  <w:t>Die relevante</w:t>
            </w:r>
            <w:r w:rsidR="00825156"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  <w:t>n</w:t>
            </w:r>
            <w:r w:rsidRPr="00955DD4"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  <w:t xml:space="preserve"> Kommunikationsgesetze für Ihre Arbeit als BR und die Sicherheit der Kollegen </w:t>
            </w:r>
          </w:p>
        </w:tc>
      </w:tr>
      <w:tr w:rsidR="009250A5" w:rsidRPr="00955DD4" w14:paraId="319C5EE0" w14:textId="77777777" w:rsidTr="00EC0020">
        <w:tc>
          <w:tcPr>
            <w:tcW w:w="1271" w:type="dxa"/>
          </w:tcPr>
          <w:p w14:paraId="5DF1CF95" w14:textId="13161623" w:rsidR="009250A5" w:rsidRPr="00955DD4" w:rsidRDefault="009250A5" w:rsidP="00EC0020">
            <w:pPr>
              <w:spacing w:after="0"/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</w:pPr>
            <w:r w:rsidRPr="00955DD4"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  <w:t>§ 74 Abs</w:t>
            </w:r>
            <w:r w:rsidR="00825156"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  <w:t>.</w:t>
            </w:r>
            <w:r w:rsidRPr="00955DD4"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  <w:t xml:space="preserve"> 1 BetrVG</w:t>
            </w:r>
          </w:p>
          <w:p w14:paraId="20B55EB9" w14:textId="77777777" w:rsidR="009250A5" w:rsidRPr="00955DD4" w:rsidRDefault="009250A5" w:rsidP="00EC0020">
            <w:pPr>
              <w:spacing w:after="0"/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</w:pPr>
          </w:p>
        </w:tc>
        <w:tc>
          <w:tcPr>
            <w:tcW w:w="7796" w:type="dxa"/>
          </w:tcPr>
          <w:p w14:paraId="68FF9FA5" w14:textId="7CFAD90A" w:rsidR="009250A5" w:rsidRPr="00955DD4" w:rsidRDefault="009250A5" w:rsidP="00EC0020">
            <w:pPr>
              <w:spacing w:after="0"/>
              <w:rPr>
                <w:rFonts w:eastAsia="Times New Roman"/>
                <w:color w:val="221E1F"/>
                <w:sz w:val="18"/>
                <w:szCs w:val="18"/>
                <w:lang w:eastAsia="de-DE"/>
              </w:rPr>
            </w:pPr>
            <w:r w:rsidRPr="00955DD4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 xml:space="preserve">In den </w:t>
            </w:r>
            <w:r w:rsidRPr="00955DD4"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  <w:t>„Grundsätzen für die Zusammenarbeit“</w:t>
            </w:r>
            <w:r w:rsidRPr="00955DD4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 xml:space="preserve"> ist geregelt, dass Sie sich als Betriebsrat mindestens einmal im Monat zu einer Besprechung treffen und strittige Fragen verhandeln. Dazu gehören auch Themen aus dem Arbeits- und Gesundheitsschutz.</w:t>
            </w:r>
          </w:p>
        </w:tc>
      </w:tr>
      <w:tr w:rsidR="009250A5" w:rsidRPr="00955DD4" w14:paraId="3D110368" w14:textId="77777777" w:rsidTr="00EC0020">
        <w:trPr>
          <w:trHeight w:val="711"/>
        </w:trPr>
        <w:tc>
          <w:tcPr>
            <w:tcW w:w="1271" w:type="dxa"/>
          </w:tcPr>
          <w:p w14:paraId="56F07A5C" w14:textId="77777777" w:rsidR="009250A5" w:rsidRPr="00657760" w:rsidRDefault="009250A5" w:rsidP="00EC0020">
            <w:pPr>
              <w:spacing w:after="0"/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</w:pPr>
            <w:r w:rsidRPr="00955DD4"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  <w:t>§ 80 Abs. 2 BetrVG</w:t>
            </w:r>
          </w:p>
        </w:tc>
        <w:tc>
          <w:tcPr>
            <w:tcW w:w="7796" w:type="dxa"/>
          </w:tcPr>
          <w:p w14:paraId="62930418" w14:textId="37787A4E" w:rsidR="009250A5" w:rsidRPr="00955DD4" w:rsidRDefault="009250A5" w:rsidP="00EC0020">
            <w:pPr>
              <w:spacing w:after="0"/>
              <w:rPr>
                <w:rFonts w:eastAsia="Times New Roman"/>
                <w:color w:val="221E1F"/>
                <w:sz w:val="18"/>
                <w:szCs w:val="18"/>
                <w:lang w:eastAsia="de-DE"/>
              </w:rPr>
            </w:pPr>
            <w:r w:rsidRPr="00955DD4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>I</w:t>
            </w:r>
            <w:r w:rsidR="00825156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>n</w:t>
            </w:r>
            <w:r w:rsidRPr="00955DD4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 xml:space="preserve"> § 80 Abs</w:t>
            </w:r>
            <w:r w:rsidR="00825156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>.</w:t>
            </w:r>
            <w:r w:rsidRPr="00955DD4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 xml:space="preserve"> 2 BetrVG</w:t>
            </w:r>
            <w:r w:rsidR="00825156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>,</w:t>
            </w:r>
            <w:r w:rsidRPr="00955DD4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 xml:space="preserve"> de</w:t>
            </w:r>
            <w:r w:rsidR="00825156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>n</w:t>
            </w:r>
            <w:r w:rsidRPr="00955DD4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 xml:space="preserve"> </w:t>
            </w:r>
            <w:r w:rsidRPr="00955DD4"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  <w:t>„Allgemeinen Aufgaben“</w:t>
            </w:r>
            <w:r w:rsidR="00825156" w:rsidRPr="00825156">
              <w:rPr>
                <w:rFonts w:eastAsia="Times New Roman"/>
                <w:bCs/>
                <w:color w:val="221E1F"/>
                <w:sz w:val="18"/>
                <w:szCs w:val="18"/>
                <w:lang w:eastAsia="de-DE"/>
              </w:rPr>
              <w:t>,</w:t>
            </w:r>
            <w:r w:rsidRPr="00955DD4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 xml:space="preserve"> ist geregelt, dass Sie als Betriebsrat von Ihrem Arbeitgeber rechtzeitig und umfassend unterrichtet werden. Diese Unterrichtung bezieht sich </w:t>
            </w:r>
            <w:r w:rsidR="00132E8B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>u.</w:t>
            </w:r>
            <w:r w:rsidR="00825156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 xml:space="preserve"> </w:t>
            </w:r>
            <w:r w:rsidR="00132E8B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 xml:space="preserve">a. </w:t>
            </w:r>
            <w:r w:rsidRPr="00955DD4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 xml:space="preserve">auf die Beschäftigung der Kollegen, die Arbeitszeit, die Arbeitstätigkeit und den Einsatzort. </w:t>
            </w:r>
          </w:p>
        </w:tc>
      </w:tr>
      <w:tr w:rsidR="009250A5" w:rsidRPr="00955DD4" w14:paraId="6D431275" w14:textId="77777777" w:rsidTr="00EC0020">
        <w:tc>
          <w:tcPr>
            <w:tcW w:w="1271" w:type="dxa"/>
          </w:tcPr>
          <w:p w14:paraId="50BC7BD4" w14:textId="77777777" w:rsidR="009250A5" w:rsidRPr="00955DD4" w:rsidRDefault="009250A5" w:rsidP="00EC0020">
            <w:pPr>
              <w:spacing w:after="0"/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</w:pPr>
            <w:r w:rsidRPr="00955DD4"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  <w:t>§ 89 BetrVG</w:t>
            </w:r>
          </w:p>
        </w:tc>
        <w:tc>
          <w:tcPr>
            <w:tcW w:w="7796" w:type="dxa"/>
          </w:tcPr>
          <w:p w14:paraId="69E7660E" w14:textId="71AAFA2F" w:rsidR="009250A5" w:rsidRPr="00955DD4" w:rsidRDefault="009250A5" w:rsidP="00EC0020">
            <w:pPr>
              <w:spacing w:after="0"/>
              <w:rPr>
                <w:rFonts w:eastAsia="Times New Roman"/>
                <w:color w:val="221E1F"/>
                <w:sz w:val="18"/>
                <w:szCs w:val="18"/>
                <w:lang w:eastAsia="de-DE"/>
              </w:rPr>
            </w:pPr>
            <w:r w:rsidRPr="00955DD4"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  <w:t>„Arbeits- und Unfallschutz“</w:t>
            </w:r>
            <w:r w:rsidRPr="00955DD4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 xml:space="preserve">: Ihr Arbeitgeber hat Sie als Betriebsrat auch in speziellen Themen </w:t>
            </w:r>
            <w:r w:rsidR="00825156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 xml:space="preserve">zu </w:t>
            </w:r>
            <w:r w:rsidRPr="00955DD4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>informieren, wie z.</w:t>
            </w:r>
            <w:r w:rsidR="00825156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 xml:space="preserve"> </w:t>
            </w:r>
            <w:r w:rsidRPr="00955DD4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>B. bei behördlichen Auflagen des Arbeitsschutzes.</w:t>
            </w:r>
          </w:p>
        </w:tc>
      </w:tr>
      <w:tr w:rsidR="009250A5" w:rsidRPr="00955DD4" w14:paraId="344DB7AD" w14:textId="77777777" w:rsidTr="00EC0020">
        <w:tc>
          <w:tcPr>
            <w:tcW w:w="1271" w:type="dxa"/>
          </w:tcPr>
          <w:p w14:paraId="4127F782" w14:textId="77777777" w:rsidR="009250A5" w:rsidRPr="00955DD4" w:rsidRDefault="009250A5" w:rsidP="00EC0020">
            <w:pPr>
              <w:spacing w:after="0"/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</w:pPr>
            <w:r w:rsidRPr="00955DD4"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  <w:t>§ 43 BetrVG</w:t>
            </w:r>
            <w:r w:rsidRPr="00955DD4"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  <w:br/>
            </w:r>
          </w:p>
        </w:tc>
        <w:tc>
          <w:tcPr>
            <w:tcW w:w="7796" w:type="dxa"/>
          </w:tcPr>
          <w:p w14:paraId="354F0A5F" w14:textId="77777777" w:rsidR="009250A5" w:rsidRPr="00955DD4" w:rsidRDefault="009250A5" w:rsidP="00EC0020">
            <w:pPr>
              <w:pStyle w:val="berschrift1"/>
              <w:spacing w:before="0"/>
              <w:rPr>
                <w:rFonts w:ascii="Calibri" w:eastAsia="Times New Roman" w:hAnsi="Calibri" w:cs="Calibri"/>
                <w:color w:val="221E1F"/>
                <w:sz w:val="18"/>
                <w:szCs w:val="18"/>
                <w:lang w:eastAsia="de-DE"/>
              </w:rPr>
            </w:pPr>
            <w:r w:rsidRPr="00955DD4">
              <w:rPr>
                <w:rFonts w:ascii="Calibri" w:hAnsi="Calibri" w:cs="Calibri"/>
                <w:b/>
                <w:bCs/>
                <w:color w:val="221E1F"/>
                <w:sz w:val="18"/>
                <w:szCs w:val="18"/>
                <w:lang w:eastAsia="de-DE"/>
              </w:rPr>
              <w:t>„Regelmäßige Betriebs- und Abteilungsversammlungen</w:t>
            </w:r>
            <w:r w:rsidRPr="00955DD4">
              <w:rPr>
                <w:rFonts w:ascii="Calibri" w:hAnsi="Calibri" w:cs="Calibri"/>
                <w:color w:val="221E1F"/>
                <w:sz w:val="18"/>
                <w:szCs w:val="18"/>
                <w:lang w:eastAsia="de-DE"/>
              </w:rPr>
              <w:t xml:space="preserve">“: Um Ihre Kollegen über die Arbeit Ihres Gremiums auf dem Laufenden zu halten und über Neuigkeiten zu informieren, haben Sie einmal in jedem Quartal eine Betriebsversammlung einzuberufen. </w:t>
            </w:r>
          </w:p>
        </w:tc>
      </w:tr>
      <w:tr w:rsidR="009250A5" w:rsidRPr="00955DD4" w14:paraId="058C73DB" w14:textId="77777777" w:rsidTr="00EC0020">
        <w:tc>
          <w:tcPr>
            <w:tcW w:w="1271" w:type="dxa"/>
          </w:tcPr>
          <w:p w14:paraId="248C4788" w14:textId="77777777" w:rsidR="009250A5" w:rsidRPr="00955DD4" w:rsidRDefault="009250A5" w:rsidP="00EC0020">
            <w:pPr>
              <w:spacing w:after="0"/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</w:pPr>
            <w:r w:rsidRPr="00955DD4"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  <w:t>§ 39 BetrVG</w:t>
            </w:r>
          </w:p>
          <w:p w14:paraId="34A10486" w14:textId="77777777" w:rsidR="009250A5" w:rsidRPr="00955DD4" w:rsidRDefault="009250A5" w:rsidP="00EC0020">
            <w:pPr>
              <w:spacing w:after="0"/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</w:pPr>
          </w:p>
        </w:tc>
        <w:tc>
          <w:tcPr>
            <w:tcW w:w="7796" w:type="dxa"/>
          </w:tcPr>
          <w:p w14:paraId="20375389" w14:textId="77777777" w:rsidR="009250A5" w:rsidRPr="00955DD4" w:rsidRDefault="009250A5" w:rsidP="00EC0020">
            <w:pPr>
              <w:spacing w:after="0"/>
              <w:rPr>
                <w:rFonts w:eastAsia="Times New Roman"/>
                <w:color w:val="221E1F"/>
                <w:sz w:val="18"/>
                <w:szCs w:val="18"/>
                <w:lang w:eastAsia="de-DE"/>
              </w:rPr>
            </w:pPr>
            <w:r w:rsidRPr="00955DD4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>Eine gute Möglichkeit für Sie als Betriebsrat sind die</w:t>
            </w:r>
            <w:r w:rsidRPr="00955DD4"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  <w:t xml:space="preserve"> Sprechstunden</w:t>
            </w:r>
            <w:r w:rsidRPr="00955DD4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>, die Sie einrichten können, um ein persönliches Gespräch mit Ihren Kollegen zu führen. Eine Sprechstunde anzubieten ist per Gesetz nicht verpflichtend. Sie sollten diese Möglichkeiten auf jeden Fall nutzen.</w:t>
            </w:r>
          </w:p>
        </w:tc>
      </w:tr>
      <w:tr w:rsidR="009250A5" w:rsidRPr="00955DD4" w14:paraId="13A6FE7C" w14:textId="77777777" w:rsidTr="00EC0020">
        <w:tc>
          <w:tcPr>
            <w:tcW w:w="1271" w:type="dxa"/>
          </w:tcPr>
          <w:p w14:paraId="78455E2A" w14:textId="77777777" w:rsidR="009250A5" w:rsidRPr="00955DD4" w:rsidRDefault="009250A5" w:rsidP="00EC0020">
            <w:pPr>
              <w:spacing w:after="0"/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</w:pPr>
            <w:r w:rsidRPr="009D1643">
              <w:rPr>
                <w:rFonts w:eastAsia="Times New Roman"/>
                <w:b/>
                <w:bCs/>
                <w:color w:val="221E1F"/>
                <w:sz w:val="18"/>
                <w:szCs w:val="18"/>
                <w:lang w:eastAsia="de-DE"/>
              </w:rPr>
              <w:t xml:space="preserve">§ 5 ArbSchG, § 3 DGUV </w:t>
            </w:r>
            <w:r>
              <w:rPr>
                <w:rFonts w:eastAsia="Times New Roman"/>
                <w:b/>
                <w:bCs/>
                <w:color w:val="221E1F"/>
                <w:sz w:val="18"/>
                <w:szCs w:val="18"/>
                <w:lang w:eastAsia="de-DE"/>
              </w:rPr>
              <w:t>V</w:t>
            </w:r>
            <w:r w:rsidRPr="009D1643">
              <w:rPr>
                <w:rFonts w:eastAsia="Times New Roman"/>
                <w:b/>
                <w:bCs/>
                <w:color w:val="221E1F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7796" w:type="dxa"/>
          </w:tcPr>
          <w:p w14:paraId="183A67A6" w14:textId="77777777" w:rsidR="009250A5" w:rsidRPr="00955DD4" w:rsidRDefault="009250A5" w:rsidP="00EC0020">
            <w:pPr>
              <w:spacing w:after="0"/>
              <w:rPr>
                <w:rFonts w:eastAsia="Times New Roman"/>
                <w:color w:val="221E1F"/>
                <w:sz w:val="18"/>
                <w:szCs w:val="18"/>
                <w:lang w:eastAsia="de-DE"/>
              </w:rPr>
            </w:pPr>
            <w:r w:rsidRPr="00657760">
              <w:rPr>
                <w:rFonts w:eastAsia="Times New Roman"/>
                <w:b/>
                <w:bCs/>
                <w:color w:val="221E1F"/>
                <w:sz w:val="18"/>
                <w:szCs w:val="18"/>
                <w:lang w:eastAsia="de-DE"/>
              </w:rPr>
              <w:t>Gefährdungsbeurteilung und Beteiligung</w:t>
            </w:r>
            <w:r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>: Ihr Arbeitgeber muss unter Beteiligung der Kollegen die Risiken der Arbeit erheben.</w:t>
            </w:r>
          </w:p>
        </w:tc>
      </w:tr>
      <w:tr w:rsidR="009250A5" w:rsidRPr="00955DD4" w14:paraId="3EA96A81" w14:textId="77777777" w:rsidTr="00EC0020">
        <w:tc>
          <w:tcPr>
            <w:tcW w:w="1271" w:type="dxa"/>
          </w:tcPr>
          <w:p w14:paraId="087D90D9" w14:textId="51646225" w:rsidR="009250A5" w:rsidRDefault="009250A5" w:rsidP="00EC0020">
            <w:pPr>
              <w:spacing w:after="0"/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</w:pPr>
            <w:r w:rsidRPr="00955DD4"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  <w:t>§ 12 ArbSchG</w:t>
            </w:r>
            <w:r w:rsidR="00825156"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  <w:t>,</w:t>
            </w:r>
          </w:p>
          <w:p w14:paraId="542A9857" w14:textId="77777777" w:rsidR="009250A5" w:rsidRPr="00955DD4" w:rsidRDefault="009250A5" w:rsidP="00EC0020">
            <w:pPr>
              <w:spacing w:after="0"/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</w:pPr>
            <w:r w:rsidRPr="003A4841"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  <w:t xml:space="preserve">§ 4 DGUV </w:t>
            </w:r>
            <w:r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  <w:t>V</w:t>
            </w:r>
            <w:r w:rsidRPr="003A4841"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7796" w:type="dxa"/>
          </w:tcPr>
          <w:p w14:paraId="012334B3" w14:textId="77777777" w:rsidR="009250A5" w:rsidRPr="00955DD4" w:rsidRDefault="009250A5" w:rsidP="00EC0020">
            <w:pPr>
              <w:spacing w:after="0"/>
              <w:rPr>
                <w:rFonts w:eastAsia="Times New Roman"/>
                <w:color w:val="221E1F"/>
                <w:sz w:val="18"/>
                <w:szCs w:val="18"/>
                <w:lang w:eastAsia="de-DE"/>
              </w:rPr>
            </w:pPr>
            <w:r w:rsidRPr="00955DD4">
              <w:rPr>
                <w:rFonts w:eastAsia="Times New Roman"/>
                <w:b/>
                <w:bCs/>
                <w:color w:val="221E1F"/>
                <w:sz w:val="18"/>
                <w:szCs w:val="18"/>
                <w:lang w:eastAsia="de-DE"/>
              </w:rPr>
              <w:t>„Unterweisungen“:</w:t>
            </w:r>
            <w:r w:rsidRPr="00955DD4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 xml:space="preserve"> Ihr Arbeitgeber muss Ihre Kollegen regelmäßig zu den verschiedensten Arbeitsschutz- und Sicherheitsthemen unterweisen. </w:t>
            </w:r>
          </w:p>
        </w:tc>
      </w:tr>
      <w:tr w:rsidR="009250A5" w:rsidRPr="00955DD4" w14:paraId="40BBE455" w14:textId="77777777" w:rsidTr="00EC0020">
        <w:tc>
          <w:tcPr>
            <w:tcW w:w="1271" w:type="dxa"/>
          </w:tcPr>
          <w:p w14:paraId="0467A88A" w14:textId="77777777" w:rsidR="009250A5" w:rsidRPr="00955DD4" w:rsidRDefault="009250A5" w:rsidP="00EC0020">
            <w:pPr>
              <w:spacing w:after="0"/>
              <w:rPr>
                <w:rFonts w:eastAsia="Times New Roman"/>
                <w:b/>
                <w:color w:val="221E1F"/>
                <w:sz w:val="18"/>
                <w:szCs w:val="18"/>
                <w:lang w:eastAsia="de-DE"/>
              </w:rPr>
            </w:pPr>
            <w:r w:rsidRPr="005B5D82">
              <w:rPr>
                <w:rFonts w:eastAsia="Times New Roman"/>
                <w:b/>
                <w:bCs/>
                <w:color w:val="221E1F"/>
                <w:sz w:val="18"/>
                <w:szCs w:val="18"/>
                <w:lang w:eastAsia="de-DE"/>
              </w:rPr>
              <w:t>§ 9 ASiG</w:t>
            </w:r>
          </w:p>
        </w:tc>
        <w:tc>
          <w:tcPr>
            <w:tcW w:w="7796" w:type="dxa"/>
          </w:tcPr>
          <w:p w14:paraId="17B974A0" w14:textId="77777777" w:rsidR="009250A5" w:rsidRPr="008F3B6D" w:rsidRDefault="009250A5" w:rsidP="00EC0020">
            <w:pPr>
              <w:spacing w:after="0"/>
              <w:rPr>
                <w:rFonts w:eastAsia="Times New Roman"/>
                <w:b/>
                <w:bCs/>
                <w:color w:val="221E1F"/>
                <w:sz w:val="18"/>
                <w:szCs w:val="18"/>
                <w:lang w:eastAsia="de-DE"/>
              </w:rPr>
            </w:pPr>
            <w:r>
              <w:rPr>
                <w:rFonts w:eastAsia="Times New Roman"/>
                <w:b/>
                <w:bCs/>
                <w:color w:val="221E1F"/>
                <w:sz w:val="18"/>
                <w:szCs w:val="18"/>
                <w:lang w:eastAsia="de-DE"/>
              </w:rPr>
              <w:t>„</w:t>
            </w:r>
            <w:r w:rsidRPr="008F3B6D">
              <w:rPr>
                <w:rFonts w:eastAsia="Times New Roman"/>
                <w:b/>
                <w:bCs/>
                <w:color w:val="221E1F"/>
                <w:sz w:val="18"/>
                <w:szCs w:val="18"/>
                <w:lang w:eastAsia="de-DE"/>
              </w:rPr>
              <w:t>Zusammenarbeit mit dem Betriebsrat</w:t>
            </w:r>
            <w:r>
              <w:rPr>
                <w:rFonts w:eastAsia="Times New Roman"/>
                <w:b/>
                <w:bCs/>
                <w:color w:val="221E1F"/>
                <w:sz w:val="18"/>
                <w:szCs w:val="18"/>
                <w:lang w:eastAsia="de-DE"/>
              </w:rPr>
              <w:t xml:space="preserve">“: </w:t>
            </w:r>
            <w:r w:rsidRPr="005B5D82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 xml:space="preserve">Betriebsärzte und Sicherheitsfachkräfte </w:t>
            </w:r>
            <w:r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 xml:space="preserve">müssen </w:t>
            </w:r>
            <w:r w:rsidRPr="005B5D82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>eng mit</w:t>
            </w:r>
            <w:r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 xml:space="preserve"> Ihnen als</w:t>
            </w:r>
            <w:r w:rsidRPr="005B5D82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 xml:space="preserve"> Betriebsrat zusammenarbeiten.</w:t>
            </w:r>
            <w:r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 xml:space="preserve"> </w:t>
            </w:r>
            <w:r w:rsidRPr="005B5D82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>Dies schließt regelmäßige Unterrichtungen und Beratungen über Maßnahmen zum Arbeitsschutz ein.</w:t>
            </w:r>
          </w:p>
        </w:tc>
      </w:tr>
      <w:tr w:rsidR="009250A5" w:rsidRPr="00955DD4" w14:paraId="080CF64E" w14:textId="77777777" w:rsidTr="00EC0020">
        <w:tc>
          <w:tcPr>
            <w:tcW w:w="1271" w:type="dxa"/>
          </w:tcPr>
          <w:p w14:paraId="0333724A" w14:textId="77777777" w:rsidR="009250A5" w:rsidRPr="005B5D82" w:rsidRDefault="009250A5" w:rsidP="00EC0020">
            <w:pPr>
              <w:spacing w:after="0"/>
              <w:rPr>
                <w:rFonts w:eastAsia="Times New Roman"/>
                <w:b/>
                <w:bCs/>
                <w:color w:val="221E1F"/>
                <w:sz w:val="18"/>
                <w:szCs w:val="18"/>
                <w:lang w:eastAsia="de-DE"/>
              </w:rPr>
            </w:pPr>
            <w:r>
              <w:rPr>
                <w:rFonts w:eastAsia="Times New Roman"/>
                <w:b/>
                <w:bCs/>
                <w:color w:val="221E1F"/>
                <w:sz w:val="18"/>
                <w:szCs w:val="18"/>
                <w:lang w:eastAsia="de-DE"/>
              </w:rPr>
              <w:t>§ 11 ASiG</w:t>
            </w:r>
          </w:p>
        </w:tc>
        <w:tc>
          <w:tcPr>
            <w:tcW w:w="7796" w:type="dxa"/>
          </w:tcPr>
          <w:p w14:paraId="67B43974" w14:textId="77777777" w:rsidR="009250A5" w:rsidRDefault="009250A5" w:rsidP="00EC0020">
            <w:pPr>
              <w:spacing w:after="0"/>
              <w:rPr>
                <w:rFonts w:eastAsia="Times New Roman"/>
                <w:b/>
                <w:bCs/>
                <w:color w:val="221E1F"/>
                <w:sz w:val="18"/>
                <w:szCs w:val="18"/>
                <w:lang w:eastAsia="de-DE"/>
              </w:rPr>
            </w:pPr>
            <w:r w:rsidRPr="00231B5F">
              <w:rPr>
                <w:rFonts w:eastAsia="Times New Roman"/>
                <w:b/>
                <w:bCs/>
                <w:color w:val="221E1F"/>
                <w:sz w:val="18"/>
                <w:szCs w:val="18"/>
                <w:lang w:eastAsia="de-DE"/>
              </w:rPr>
              <w:t>Arbeitsschutzausschuss:</w:t>
            </w:r>
            <w:r w:rsidRPr="00231B5F"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 xml:space="preserve"> Einmal pro Quartal muss Ihr Arbeitgeber einen ASA zusammenrufen und über Arbeitsschutzthemen beraten</w:t>
            </w:r>
            <w:r>
              <w:rPr>
                <w:rFonts w:eastAsia="Times New Roman"/>
                <w:color w:val="221E1F"/>
                <w:sz w:val="18"/>
                <w:szCs w:val="18"/>
                <w:lang w:eastAsia="de-DE"/>
              </w:rPr>
              <w:t>. Zwei Betriebsratsmitglieder vertreten dabei die Sichtweise der Kollegen.</w:t>
            </w:r>
          </w:p>
        </w:tc>
      </w:tr>
      <w:tr w:rsidR="009250A5" w:rsidRPr="00955DD4" w14:paraId="0125E77C" w14:textId="77777777" w:rsidTr="00EC0020">
        <w:tc>
          <w:tcPr>
            <w:tcW w:w="9067" w:type="dxa"/>
            <w:gridSpan w:val="2"/>
          </w:tcPr>
          <w:p w14:paraId="7451CCAC" w14:textId="6E9BB8F1" w:rsidR="009250A5" w:rsidRPr="00FF269D" w:rsidRDefault="00FF269D" w:rsidP="00EC0020">
            <w:pPr>
              <w:spacing w:after="0"/>
              <w:rPr>
                <w:rFonts w:eastAsia="Times New Roman"/>
                <w:b/>
                <w:bCs/>
                <w:color w:val="221E1F"/>
                <w:sz w:val="18"/>
                <w:szCs w:val="18"/>
                <w:lang w:eastAsia="de-DE"/>
              </w:rPr>
            </w:pPr>
            <w:r w:rsidRPr="00FF269D">
              <w:rPr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3C26C856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A9C7D73-EA05-4E07-9EDC-5A13891F0E14}"/>
    <w:docVar w:name="dgnword-eventsink" w:val="2513409836496"/>
  </w:docVars>
  <w:rsids>
    <w:rsidRoot w:val="009250A5"/>
    <w:rsid w:val="00132E8B"/>
    <w:rsid w:val="00257954"/>
    <w:rsid w:val="002B2D7D"/>
    <w:rsid w:val="005315D6"/>
    <w:rsid w:val="00585EF7"/>
    <w:rsid w:val="0060397E"/>
    <w:rsid w:val="007A5896"/>
    <w:rsid w:val="00825156"/>
    <w:rsid w:val="0091003A"/>
    <w:rsid w:val="009250A5"/>
    <w:rsid w:val="009F4E03"/>
    <w:rsid w:val="00D04C90"/>
    <w:rsid w:val="00DF23DA"/>
    <w:rsid w:val="00F62228"/>
    <w:rsid w:val="00FF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B266"/>
  <w15:chartTrackingRefBased/>
  <w15:docId w15:val="{2E0D051C-173D-4255-B927-C1CC6D26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50A5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25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5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5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25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5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5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5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5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5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25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5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5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50A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50A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50A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50A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50A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50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25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25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25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25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25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250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250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250A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25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50A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250A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rsid w:val="00925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2025-02-28T15:50:00Z</dcterms:created>
  <dcterms:modified xsi:type="dcterms:W3CDTF">2025-02-28T15:50:00Z</dcterms:modified>
</cp:coreProperties>
</file>