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EFDB" w14:textId="7C84D9C7" w:rsidR="009F6D25" w:rsidRPr="009F6D25" w:rsidRDefault="009F6D25" w:rsidP="009F6D25">
      <w:pPr>
        <w:rPr>
          <w:b/>
          <w:bCs/>
        </w:rPr>
      </w:pPr>
      <w:r w:rsidRPr="009F6D25">
        <w:rPr>
          <w:b/>
          <w:bCs/>
        </w:rPr>
        <w:t>Entschädigung oder Schadensersatz: So entscheiden Sie</w:t>
      </w:r>
    </w:p>
    <w:p w14:paraId="7AB575B4" w14:textId="77777777" w:rsidR="009F6D25" w:rsidRPr="009F6D25" w:rsidRDefault="009F6D25" w:rsidP="009F6D25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261"/>
      </w:tblGrid>
      <w:tr w:rsidR="009F6D25" w:rsidRPr="009F6D25" w14:paraId="00D81DA6" w14:textId="77777777" w:rsidTr="0058368A">
        <w:tc>
          <w:tcPr>
            <w:tcW w:w="8926" w:type="dxa"/>
            <w:gridSpan w:val="3"/>
          </w:tcPr>
          <w:p w14:paraId="1E716FBB" w14:textId="77777777" w:rsidR="009F6D25" w:rsidRPr="009F6D25" w:rsidRDefault="009F6D25" w:rsidP="009F6D25">
            <w:pPr>
              <w:rPr>
                <w:b/>
                <w:bCs/>
              </w:rPr>
            </w:pPr>
            <w:r w:rsidRPr="009F6D25">
              <w:rPr>
                <w:b/>
                <w:bCs/>
              </w:rPr>
              <w:t>Ansprüche nach dem AGG</w:t>
            </w:r>
          </w:p>
        </w:tc>
      </w:tr>
      <w:tr w:rsidR="009F6D25" w:rsidRPr="009F6D25" w14:paraId="4D8DFA81" w14:textId="77777777" w:rsidTr="0058368A">
        <w:tc>
          <w:tcPr>
            <w:tcW w:w="2263" w:type="dxa"/>
          </w:tcPr>
          <w:p w14:paraId="7DF60C11" w14:textId="77777777" w:rsidR="009F6D25" w:rsidRPr="009F6D25" w:rsidRDefault="009F6D25" w:rsidP="009F6D25">
            <w:pPr>
              <w:rPr>
                <w:bCs/>
              </w:rPr>
            </w:pPr>
          </w:p>
        </w:tc>
        <w:tc>
          <w:tcPr>
            <w:tcW w:w="3402" w:type="dxa"/>
          </w:tcPr>
          <w:p w14:paraId="6339F32B" w14:textId="77777777" w:rsidR="009F6D25" w:rsidRPr="009F6D25" w:rsidRDefault="009F6D25" w:rsidP="009F6D25">
            <w:pPr>
              <w:rPr>
                <w:b/>
                <w:bCs/>
              </w:rPr>
            </w:pPr>
            <w:r w:rsidRPr="009F6D25">
              <w:rPr>
                <w:b/>
                <w:bCs/>
              </w:rPr>
              <w:t>Voraussetzung</w:t>
            </w:r>
          </w:p>
        </w:tc>
        <w:tc>
          <w:tcPr>
            <w:tcW w:w="3261" w:type="dxa"/>
          </w:tcPr>
          <w:p w14:paraId="41329BC0" w14:textId="77777777" w:rsidR="009F6D25" w:rsidRPr="009F6D25" w:rsidRDefault="009F6D25" w:rsidP="009F6D25">
            <w:pPr>
              <w:rPr>
                <w:b/>
                <w:bCs/>
              </w:rPr>
            </w:pPr>
            <w:r w:rsidRPr="009F6D25">
              <w:rPr>
                <w:b/>
                <w:bCs/>
              </w:rPr>
              <w:t>Höhe</w:t>
            </w:r>
          </w:p>
        </w:tc>
      </w:tr>
      <w:tr w:rsidR="009F6D25" w:rsidRPr="009F6D25" w14:paraId="70789CB8" w14:textId="77777777" w:rsidTr="0058368A">
        <w:tc>
          <w:tcPr>
            <w:tcW w:w="2263" w:type="dxa"/>
          </w:tcPr>
          <w:p w14:paraId="5ACFF3F7" w14:textId="77777777" w:rsidR="009F6D25" w:rsidRPr="009F6D25" w:rsidRDefault="009F6D25" w:rsidP="009F6D25">
            <w:pPr>
              <w:rPr>
                <w:bCs/>
              </w:rPr>
            </w:pPr>
            <w:r w:rsidRPr="009F6D25">
              <w:rPr>
                <w:b/>
                <w:bCs/>
              </w:rPr>
              <w:t>Materielle Schadenersatzansprüche</w:t>
            </w:r>
          </w:p>
        </w:tc>
        <w:tc>
          <w:tcPr>
            <w:tcW w:w="3402" w:type="dxa"/>
          </w:tcPr>
          <w:p w14:paraId="76CF210B" w14:textId="77777777" w:rsidR="009F6D25" w:rsidRPr="009F6D25" w:rsidRDefault="009F6D25" w:rsidP="009F6D25">
            <w:pPr>
              <w:rPr>
                <w:bCs/>
              </w:rPr>
            </w:pPr>
            <w:r w:rsidRPr="009F6D25">
              <w:rPr>
                <w:bCs/>
              </w:rPr>
              <w:t>Vorsätzliche oder fahrlässige Pflichtverletzung des Arbeitgebers, z. B.: Er übergeht einen Mitarbeiter bei einer Beförderung.</w:t>
            </w:r>
          </w:p>
        </w:tc>
        <w:tc>
          <w:tcPr>
            <w:tcW w:w="3261" w:type="dxa"/>
          </w:tcPr>
          <w:p w14:paraId="0333ACCB" w14:textId="77777777" w:rsidR="009F6D25" w:rsidRPr="009F6D25" w:rsidRDefault="009F6D25" w:rsidP="009F6D25">
            <w:pPr>
              <w:rPr>
                <w:bCs/>
              </w:rPr>
            </w:pPr>
            <w:r w:rsidRPr="009F6D25">
              <w:rPr>
                <w:bCs/>
              </w:rPr>
              <w:t xml:space="preserve">Ersatz des materiellen Schadens (Geld): Wenn der Bewerber eigentlich hätte befördert werden müssen, kann der Schadenersatz im entgangenen Lohn liegen. </w:t>
            </w:r>
          </w:p>
        </w:tc>
      </w:tr>
      <w:tr w:rsidR="009F6D25" w:rsidRPr="009F6D25" w14:paraId="299A5D28" w14:textId="77777777" w:rsidTr="0058368A">
        <w:tc>
          <w:tcPr>
            <w:tcW w:w="2263" w:type="dxa"/>
          </w:tcPr>
          <w:p w14:paraId="5E2128CB" w14:textId="77777777" w:rsidR="009F6D25" w:rsidRPr="009F6D25" w:rsidRDefault="009F6D25" w:rsidP="009F6D25">
            <w:pPr>
              <w:rPr>
                <w:bCs/>
              </w:rPr>
            </w:pPr>
            <w:r w:rsidRPr="009F6D25">
              <w:rPr>
                <w:b/>
                <w:bCs/>
              </w:rPr>
              <w:t>Immaterielle Entschädigungsansprüche (= Schmerzensgeld)</w:t>
            </w:r>
          </w:p>
        </w:tc>
        <w:tc>
          <w:tcPr>
            <w:tcW w:w="3402" w:type="dxa"/>
          </w:tcPr>
          <w:p w14:paraId="3926DE5F" w14:textId="77777777" w:rsidR="009F6D25" w:rsidRPr="009F6D25" w:rsidRDefault="009F6D25" w:rsidP="009F6D25">
            <w:pPr>
              <w:rPr>
                <w:bCs/>
              </w:rPr>
            </w:pPr>
            <w:r w:rsidRPr="009F6D25">
              <w:rPr>
                <w:bCs/>
              </w:rPr>
              <w:t>Konkrete Benachteiligung, aber ein Verschulden von Arbeitgeberseite ist nicht erforderlich (aber natürlich möglich), z. B.: Er berücksichtigt eine Frau nicht bei einer Beförderung, weil er meint, er müsste dies nicht.</w:t>
            </w:r>
          </w:p>
        </w:tc>
        <w:tc>
          <w:tcPr>
            <w:tcW w:w="3261" w:type="dxa"/>
          </w:tcPr>
          <w:p w14:paraId="232DA832" w14:textId="77777777" w:rsidR="009F6D25" w:rsidRPr="009F6D25" w:rsidRDefault="009F6D25" w:rsidP="009F6D25">
            <w:pPr>
              <w:rPr>
                <w:bCs/>
              </w:rPr>
            </w:pPr>
            <w:r w:rsidRPr="009F6D25">
              <w:rPr>
                <w:bCs/>
              </w:rPr>
              <w:t>„Angemessene Entschädigung“, im Fall einer Nichteinstellung maximal drei Monatsgehälter (§ 15 Abs. 2 Satz 2 AGG)</w:t>
            </w:r>
          </w:p>
        </w:tc>
      </w:tr>
    </w:tbl>
    <w:p w14:paraId="6906A16F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25"/>
    <w:rsid w:val="000A233F"/>
    <w:rsid w:val="002F61FD"/>
    <w:rsid w:val="006B17A9"/>
    <w:rsid w:val="007C223D"/>
    <w:rsid w:val="009F6D25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67319"/>
  <w15:chartTrackingRefBased/>
  <w15:docId w15:val="{DCB706B1-EF5B-D64C-A9C6-D4C5842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6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6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6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6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6D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6D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6D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6D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6D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6D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6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6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6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6D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6D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6D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6D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6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2025-02-11T14:33:00Z</dcterms:created>
  <dcterms:modified xsi:type="dcterms:W3CDTF">2025-02-11T14:35:00Z</dcterms:modified>
</cp:coreProperties>
</file>