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  <w:t>Muster-Betriebsvereinbarung: Auswahlrichtlinien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Zwischen der Betriebsleitung</w:t>
      </w:r>
    </w:p>
    <w:p w:rsidR="00165CA6" w:rsidRP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vertreten durch … –</w:t>
      </w:r>
    </w:p>
    <w:p w:rsidR="00165CA6" w:rsidRP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und</w:t>
      </w:r>
    </w:p>
    <w:p w:rsidR="00165CA6" w:rsidRP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dem Betriebsrat</w:t>
      </w:r>
    </w:p>
    <w:p w:rsidR="00165CA6" w:rsidRP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– vertreten durch die/</w:t>
      </w:r>
      <w:proofErr w:type="gram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den Vorsitzende</w:t>
      </w:r>
      <w:proofErr w:type="gram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/n –</w:t>
      </w:r>
    </w:p>
    <w:p w:rsid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werden folgende Auswahlrichtlinien für die Einstellung und Kündigung vereinbart:</w:t>
      </w:r>
    </w:p>
    <w:p w:rsidR="00165CA6" w:rsidRPr="00165CA6" w:rsidRDefault="00165CA6" w:rsidP="00165CA6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1 Einstellungen, allgemeine Grundsätze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Alle freien Arbeitsplätze sind zunächst intern auszuschreiben. Internen Bewerberinnen und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Bewerbern ist bei sonst gleichen Voraussetzungen der Vorzug zu gewähren. Bei der Besetzung von Arbeitsplätzen, die für Menschen mit Behinderung geeignet sind, haben diese bei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gleicher Eignung Vorrang.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Von einer Einstellung ist abzusehen, wenn die Besorgnis besteht,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dass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bereits beschäftigte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Arbeitnehmende entlassen werden oder sonstige Nachteile erleiden.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Damit eine sichere Anwendung dieser Auswahlrichtlinie gewährleistet wird, dürfen für die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Beurteilung und Entscheidung nur die Tatsachen herangezogen werden, die sich aus dem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ausgefüllten, mit dem Betriebsrat abgestimmten Personalfragebogen, allen vorgelegten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Zeugnissen, Bescheinigungen und Referenzen ergeben.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Zieht die Personalabteilung zu ihrer Beratung bei der Beurteilung der fachlichen Qualifikation die spätere Vorgesetzte oder den Vorgesetzten hinzu, lädt sie gleichzeitig ein vom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Betriebsrat bestimmtes Mitglied des Gremiums ein, um dem Betriebsrat den gleichen Informationsstand zu gewähren.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Dem Betriebsrat werden auch die Bewerbungen vorgelegt, die nach Ansicht der Personalabteilung für die engere Auswahl nicht in Betracht kommen. Sie hat ihre Entscheidung zu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</w:t>
      </w: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begründen. Erhebt der Betriebsrat Bedenken gegen das Ausscheiden von Bewerbenden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in der Vorauswahl, werden die betreffenden Kandidatinnen und Kandidaten in die weitere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Auswahl einbezogen.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Die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infrage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kommenden Bewerbenden werden dem Betriebsrat vorgestellt.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2 Prüfung der persönlichen Voraussetzungen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Personalabteilung prüft anhand einer mit dem Betriebsrat abgestimmten Liste der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gesetzlichen und tariflichen Beschäftigungsverbote, ob der Einstellung ein Beschäftigungsverbot entgegensteht.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3 Prüfung der fachlichen Voraussetzungen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Anhand der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Abschlusszeugnisse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und sonstigen Bewerbungsunterlagen ist zu prüfen, ob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Bewerberin oder der Bewerber die in der Stellenbeschreibung definierten Kenntnisse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und Fertigkeiten besitzt.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  <w:t>II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lastRenderedPageBreak/>
        <w:t>Für die Auswahl gelten gleichberechtigt die folgenden Kriterien:</w:t>
      </w:r>
    </w:p>
    <w:p w:rsidR="00165CA6" w:rsidRPr="00165CA6" w:rsidRDefault="00165CA6" w:rsidP="00165CA6">
      <w:pPr>
        <w:pStyle w:val="Listenabsatz"/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für die Tätigkeit erforderliche Ausbildung,</w:t>
      </w:r>
    </w:p>
    <w:p w:rsidR="00165CA6" w:rsidRPr="00165CA6" w:rsidRDefault="00165CA6" w:rsidP="00165CA6">
      <w:pPr>
        <w:pStyle w:val="Listenabsatz"/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tätigkeitsbezogene Erfahrung,</w:t>
      </w:r>
    </w:p>
    <w:p w:rsidR="00165CA6" w:rsidRPr="00165CA6" w:rsidRDefault="00165CA6" w:rsidP="00165CA6">
      <w:pPr>
        <w:pStyle w:val="Listenabsatz"/>
        <w:widowControl/>
        <w:numPr>
          <w:ilvl w:val="0"/>
          <w:numId w:val="9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erkennbare Fähigkeit, die für die Tätigkeit notwendigen Erfahrungen und Kenntnisse</w:t>
      </w:r>
    </w:p>
    <w:p w:rsidR="00165CA6" w:rsidRDefault="00165CA6" w:rsidP="00165CA6">
      <w:pPr>
        <w:widowControl/>
        <w:autoSpaceDE/>
        <w:autoSpaceDN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 erwerben.</w:t>
      </w:r>
    </w:p>
    <w:p w:rsidR="00165CA6" w:rsidRPr="00165CA6" w:rsidRDefault="00165CA6" w:rsidP="00165CA6">
      <w:pPr>
        <w:widowControl/>
        <w:autoSpaceDE/>
        <w:autoSpaceDN/>
        <w:ind w:firstLine="708"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Zur Feststellung der Eignung kann im Einvernehmen mit dem Betriebsrat eine Eignungs-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prüfung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vorgenommen werden. Der Betriebsrat ist über deren Ergebnis unter Vorlage der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Unterlagen umfassend zu unterrichten. Bei der Prüfung der fachlichen Eignung von Bewerbenden, die mit Weisungsbefugnissen ausgestattet werden, hat eine entsprechende Ausbildung für Leitungsfunktionen den gleichen Rang wie die Fachausbildung.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Eignung der Bewerberin oder des Bewerbers für die besonderen Anforderungen, die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Betrieb an das Verhalten in Leitungsfunktionen stellt, wird in einem ausführlichen Einstellungsgespräch geklärt. Dem Betriebsrat wird Gelegenheit gegeben, mit der Bewerberin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oder dem Bewerber ein ausführliches Gespräch diesbezüglich zu führen. Wenn sich mindestens ein schwerbehinderter Mensch beworben hat, hat die Schwerbehindertenvertretung das Recht auf Einsicht in entscheidungsrelevante Bewerbungsunterlagen. Sie nimmt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gegebenenfalls an Bewerbungsgesprächen und Vorstellungsgesprächen teil.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4 Kündigungen, allgemeine Grundsätze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1. Außerordentliche Kündigungen, die durch das Verhalten des oder der Beschäftigten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bedingt sind und denen ein vorwerfbares Handeln zugrunde liegt, sind nicht Gegen-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stand dieser Betriebsvereinbarung.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2. Betriebsbedingte Kündigungen und Kündigungen, die ihre Ursache in der Person der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Arbeitnehmenden haben – ohne verhaltensbedingt zu sein –, sind durch entsprechende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Maßnahmen der Personalplanung grundsätzlich zu vermeiden.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Betriebsbedingte Kündigungen dürfen nicht zum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Anlass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genommen werden, in der Vergangenheit eventuell unterlassene Disziplinarmaßnahmen nachträglich durchzuführen.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5 Personenbedingte Kündigungen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Bei personenbedingten Kündigungen hat die Betriebsleitung dem Betriebsrat alle Gründe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für die Kündigungsabsicht mitzuteilen. Ein späteres Nachschieben von Gründen, die bereits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zum Zeitpunkt der Mitteilung bekannt waren oder hätten bekannt sein können, ist unzulässig.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Bei personenbedingten Kündigungen ist stets eine Weiterbeschäftigungsmöglichkeit –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auch nach Teilnahme an einer Weiterbildungs- oder Umschulungsmaßnahme – an einem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anderen Arbeitsplatz eingehend zu prüfen. Eine Kündigung ist unzulässig, wenn statt ihrer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eine mildere Maßnahme wie eine Weiterbildung oder Umschulung und/oder Weiterbeschäftigungsmöglichkeit eventuell an einem anderen Arbeitsplatz besteht.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Konkrete Vorschläge des Betriebsrats bei einer für nicht ausreichend erachteten Prüfung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der Weiterbildungsmöglichkeiten sind von der Personalabteilung gemeinsam mit dem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Betriebsrat zu prüfen.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lastRenderedPageBreak/>
        <w:t xml:space="preserve">Wenn </w:t>
      </w:r>
      <w:proofErr w:type="gram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zu kündigende Arbeitnehmende</w:t>
      </w:r>
      <w:proofErr w:type="gram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ihr Einverständnis zur Weiterbeschäftigung unter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geänderten Vertragsbedingungen erklären und der Betriebsrat dem zustimmt, gilt die den-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noch ausgesprochene Kündigung als Verstoß gegen diese Auswahlrichtlinien.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6 Betriebsbedingte Kündigungen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Voraussetzungen dafür,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dass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eine betriebsbedingte Kündigung möglich ist, sind die Beratung und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Beschlussfassung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über die Verminderung der Belegschaft auf bestimmten Arbeits-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plätzen in der vorausgegangenen Personalplanung. Andernfalls gilt das als Verstoß gegen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 Auswahlrichtlinien.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Sofern die gesetzlichen Voraussetzungen für eine Massenentlassung eingehend geprüft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sind, die Anzeige bei der Bundesagentur für Arbeit erstattet wurde und deren Auflagen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erfüllt sind, gelten folgende Auswahlkriterien:</w:t>
      </w:r>
    </w:p>
    <w:p w:rsidR="00165CA6" w:rsidRPr="00165CA6" w:rsidRDefault="00165CA6" w:rsidP="00165CA6">
      <w:pPr>
        <w:pStyle w:val="Listenabsatz"/>
        <w:widowControl/>
        <w:numPr>
          <w:ilvl w:val="0"/>
          <w:numId w:val="10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Dauer der Betriebszugehörigkeit: Eine längere Betriebszugehörigkeit verlangt eine größere soziale Rücksichtnahme.</w:t>
      </w:r>
    </w:p>
    <w:p w:rsidR="00165CA6" w:rsidRPr="00165CA6" w:rsidRDefault="00165CA6" w:rsidP="00165CA6">
      <w:pPr>
        <w:pStyle w:val="Listenabsatz"/>
        <w:widowControl/>
        <w:numPr>
          <w:ilvl w:val="0"/>
          <w:numId w:val="10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Sozialdaten (Alter, Familienstand, unterhaltsberechtigte Familienmitglieder): Die größere soziale Verpflichtung verlangt die jeweils größere soziale Rücksichtnahme.</w:t>
      </w:r>
    </w:p>
    <w:p w:rsidR="00165CA6" w:rsidRDefault="00165CA6" w:rsidP="00165CA6">
      <w:pPr>
        <w:pStyle w:val="Listenabsatz"/>
        <w:widowControl/>
        <w:numPr>
          <w:ilvl w:val="0"/>
          <w:numId w:val="10"/>
        </w:numPr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Fachliche Eignung: Eine Umschulungsmöglichkeit ist dabei zu berücksichtigen.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  <w:t>§ 7 Inkrafttreten und Kündigung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de-DE"/>
        </w:rPr>
      </w:pP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Diese Betriebsvereinbarung tritt am ... in Kraft. Sie kann mit einer Frist von drei Monaten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zum Jahresende gekündigt werden. Bei einer Kündigung wirkt sie bis zum </w:t>
      </w:r>
      <w:proofErr w:type="spellStart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Abschluss</w:t>
      </w:r>
      <w:proofErr w:type="spellEnd"/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 xml:space="preserve"> einer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neuen Vereinbarung zu diesem Thema nach.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FFFFFF"/>
          <w:sz w:val="24"/>
          <w:szCs w:val="24"/>
          <w:lang w:eastAsia="de-DE"/>
        </w:rPr>
        <w:t>Teil II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______________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Ort, Datum</w:t>
      </w: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</w:p>
    <w:p w:rsid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______________</w:t>
      </w:r>
    </w:p>
    <w:p w:rsidR="00165CA6" w:rsidRPr="00165CA6" w:rsidRDefault="00165CA6" w:rsidP="00165CA6">
      <w:pPr>
        <w:widowControl/>
        <w:autoSpaceDE/>
        <w:autoSpaceDN/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</w:pPr>
      <w:r w:rsidRPr="00165CA6">
        <w:rPr>
          <w:rFonts w:asciiTheme="minorHAnsi" w:eastAsia="Times New Roman" w:hAnsiTheme="minorHAnsi" w:cstheme="minorHAnsi"/>
          <w:color w:val="000000"/>
          <w:sz w:val="24"/>
          <w:szCs w:val="24"/>
          <w:lang w:eastAsia="de-DE"/>
        </w:rPr>
        <w:t>Unterschriften</w:t>
      </w:r>
    </w:p>
    <w:p w:rsidR="00D87D5F" w:rsidRPr="00165CA6" w:rsidRDefault="00D87D5F" w:rsidP="00165CA6">
      <w:pPr>
        <w:rPr>
          <w:rFonts w:asciiTheme="minorHAnsi" w:hAnsiTheme="minorHAnsi" w:cstheme="minorHAnsi"/>
          <w:sz w:val="24"/>
          <w:szCs w:val="24"/>
        </w:rPr>
      </w:pPr>
    </w:p>
    <w:sectPr w:rsidR="00D87D5F" w:rsidRPr="00165CA6" w:rsidSect="000534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Pro Bold">
    <w:altName w:val="Avenir Next LT Pro"/>
    <w:panose1 w:val="020B0604020202020204"/>
    <w:charset w:val="4D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49"/>
    <w:multiLevelType w:val="hybridMultilevel"/>
    <w:tmpl w:val="FB30FA00"/>
    <w:lvl w:ilvl="0" w:tplc="768E8A3C">
      <w:numFmt w:val="bullet"/>
      <w:lvlText w:val="•"/>
      <w:lvlJc w:val="left"/>
      <w:pPr>
        <w:ind w:left="397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8B28E826">
      <w:numFmt w:val="bullet"/>
      <w:lvlText w:val="•"/>
      <w:lvlJc w:val="left"/>
      <w:pPr>
        <w:ind w:left="1350" w:hanging="284"/>
      </w:pPr>
      <w:rPr>
        <w:rFonts w:hint="default"/>
        <w:lang w:val="de-DE" w:eastAsia="en-US" w:bidi="ar-SA"/>
      </w:rPr>
    </w:lvl>
    <w:lvl w:ilvl="2" w:tplc="B20AAFE4">
      <w:numFmt w:val="bullet"/>
      <w:lvlText w:val="•"/>
      <w:lvlJc w:val="left"/>
      <w:pPr>
        <w:ind w:left="2301" w:hanging="284"/>
      </w:pPr>
      <w:rPr>
        <w:rFonts w:hint="default"/>
        <w:lang w:val="de-DE" w:eastAsia="en-US" w:bidi="ar-SA"/>
      </w:rPr>
    </w:lvl>
    <w:lvl w:ilvl="3" w:tplc="4300A9A6">
      <w:numFmt w:val="bullet"/>
      <w:lvlText w:val="•"/>
      <w:lvlJc w:val="left"/>
      <w:pPr>
        <w:ind w:left="3251" w:hanging="284"/>
      </w:pPr>
      <w:rPr>
        <w:rFonts w:hint="default"/>
        <w:lang w:val="de-DE" w:eastAsia="en-US" w:bidi="ar-SA"/>
      </w:rPr>
    </w:lvl>
    <w:lvl w:ilvl="4" w:tplc="CBBA22DA">
      <w:numFmt w:val="bullet"/>
      <w:lvlText w:val="•"/>
      <w:lvlJc w:val="left"/>
      <w:pPr>
        <w:ind w:left="4202" w:hanging="284"/>
      </w:pPr>
      <w:rPr>
        <w:rFonts w:hint="default"/>
        <w:lang w:val="de-DE" w:eastAsia="en-US" w:bidi="ar-SA"/>
      </w:rPr>
    </w:lvl>
    <w:lvl w:ilvl="5" w:tplc="634A64D2">
      <w:numFmt w:val="bullet"/>
      <w:lvlText w:val="•"/>
      <w:lvlJc w:val="left"/>
      <w:pPr>
        <w:ind w:left="5152" w:hanging="284"/>
      </w:pPr>
      <w:rPr>
        <w:rFonts w:hint="default"/>
        <w:lang w:val="de-DE" w:eastAsia="en-US" w:bidi="ar-SA"/>
      </w:rPr>
    </w:lvl>
    <w:lvl w:ilvl="6" w:tplc="45D46B0C">
      <w:numFmt w:val="bullet"/>
      <w:lvlText w:val="•"/>
      <w:lvlJc w:val="left"/>
      <w:pPr>
        <w:ind w:left="6103" w:hanging="284"/>
      </w:pPr>
      <w:rPr>
        <w:rFonts w:hint="default"/>
        <w:lang w:val="de-DE" w:eastAsia="en-US" w:bidi="ar-SA"/>
      </w:rPr>
    </w:lvl>
    <w:lvl w:ilvl="7" w:tplc="1FA8EAC2">
      <w:numFmt w:val="bullet"/>
      <w:lvlText w:val="•"/>
      <w:lvlJc w:val="left"/>
      <w:pPr>
        <w:ind w:left="7053" w:hanging="284"/>
      </w:pPr>
      <w:rPr>
        <w:rFonts w:hint="default"/>
        <w:lang w:val="de-DE" w:eastAsia="en-US" w:bidi="ar-SA"/>
      </w:rPr>
    </w:lvl>
    <w:lvl w:ilvl="8" w:tplc="ADF2B1BA">
      <w:numFmt w:val="bullet"/>
      <w:lvlText w:val="•"/>
      <w:lvlJc w:val="left"/>
      <w:pPr>
        <w:ind w:left="8004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13B53821"/>
    <w:multiLevelType w:val="hybridMultilevel"/>
    <w:tmpl w:val="472CF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5018A"/>
    <w:multiLevelType w:val="hybridMultilevel"/>
    <w:tmpl w:val="3CC24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182C"/>
    <w:multiLevelType w:val="hybridMultilevel"/>
    <w:tmpl w:val="E634E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43CF4"/>
    <w:multiLevelType w:val="hybridMultilevel"/>
    <w:tmpl w:val="297E4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014B"/>
    <w:multiLevelType w:val="hybridMultilevel"/>
    <w:tmpl w:val="737A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D0FDD"/>
    <w:multiLevelType w:val="hybridMultilevel"/>
    <w:tmpl w:val="873EDC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B430B"/>
    <w:multiLevelType w:val="hybridMultilevel"/>
    <w:tmpl w:val="D7B84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13934"/>
    <w:multiLevelType w:val="hybridMultilevel"/>
    <w:tmpl w:val="5C8A8552"/>
    <w:lvl w:ilvl="0" w:tplc="061E01DC">
      <w:start w:val="1"/>
      <w:numFmt w:val="upperRoman"/>
      <w:lvlText w:val="%1."/>
      <w:lvlJc w:val="left"/>
      <w:pPr>
        <w:ind w:left="1400" w:hanging="720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48"/>
        <w:szCs w:val="48"/>
        <w:lang w:val="de-DE" w:eastAsia="en-US" w:bidi="ar-SA"/>
      </w:rPr>
    </w:lvl>
    <w:lvl w:ilvl="1" w:tplc="D4DC89E2">
      <w:start w:val="1"/>
      <w:numFmt w:val="decimal"/>
      <w:lvlText w:val="%2."/>
      <w:lvlJc w:val="left"/>
      <w:pPr>
        <w:ind w:left="1400" w:hanging="720"/>
        <w:jc w:val="right"/>
      </w:pPr>
      <w:rPr>
        <w:rFonts w:ascii="Avenir" w:eastAsia="Avenir" w:hAnsi="Avenir" w:cs="Avenir" w:hint="default"/>
        <w:b w:val="0"/>
        <w:bCs w:val="0"/>
        <w:i w:val="0"/>
        <w:iCs w:val="0"/>
        <w:color w:val="231F20"/>
        <w:spacing w:val="0"/>
        <w:w w:val="100"/>
        <w:sz w:val="32"/>
        <w:szCs w:val="32"/>
        <w:lang w:val="de-DE" w:eastAsia="en-US" w:bidi="ar-SA"/>
      </w:rPr>
    </w:lvl>
    <w:lvl w:ilvl="2" w:tplc="4058E180">
      <w:start w:val="1"/>
      <w:numFmt w:val="decimal"/>
      <w:lvlText w:val="%3)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3" w:tplc="8FBEE462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4" w:tplc="2FE4B05E">
      <w:numFmt w:val="bullet"/>
      <w:lvlText w:val="•"/>
      <w:lvlJc w:val="left"/>
      <w:pPr>
        <w:ind w:left="4235" w:hanging="284"/>
      </w:pPr>
      <w:rPr>
        <w:rFonts w:hint="default"/>
        <w:lang w:val="de-DE" w:eastAsia="en-US" w:bidi="ar-SA"/>
      </w:rPr>
    </w:lvl>
    <w:lvl w:ilvl="5" w:tplc="8A94E9AC">
      <w:numFmt w:val="bullet"/>
      <w:lvlText w:val="•"/>
      <w:lvlJc w:val="left"/>
      <w:pPr>
        <w:ind w:left="5180" w:hanging="284"/>
      </w:pPr>
      <w:rPr>
        <w:rFonts w:hint="default"/>
        <w:lang w:val="de-DE" w:eastAsia="en-US" w:bidi="ar-SA"/>
      </w:rPr>
    </w:lvl>
    <w:lvl w:ilvl="6" w:tplc="E7AC302A">
      <w:numFmt w:val="bullet"/>
      <w:lvlText w:val="•"/>
      <w:lvlJc w:val="left"/>
      <w:pPr>
        <w:ind w:left="6125" w:hanging="284"/>
      </w:pPr>
      <w:rPr>
        <w:rFonts w:hint="default"/>
        <w:lang w:val="de-DE" w:eastAsia="en-US" w:bidi="ar-SA"/>
      </w:rPr>
    </w:lvl>
    <w:lvl w:ilvl="7" w:tplc="00CCC9B0">
      <w:numFmt w:val="bullet"/>
      <w:lvlText w:val="•"/>
      <w:lvlJc w:val="left"/>
      <w:pPr>
        <w:ind w:left="7070" w:hanging="284"/>
      </w:pPr>
      <w:rPr>
        <w:rFonts w:hint="default"/>
        <w:lang w:val="de-DE" w:eastAsia="en-US" w:bidi="ar-SA"/>
      </w:rPr>
    </w:lvl>
    <w:lvl w:ilvl="8" w:tplc="224645BA">
      <w:numFmt w:val="bullet"/>
      <w:lvlText w:val="•"/>
      <w:lvlJc w:val="left"/>
      <w:pPr>
        <w:ind w:left="8015" w:hanging="284"/>
      </w:pPr>
      <w:rPr>
        <w:rFonts w:hint="default"/>
        <w:lang w:val="de-DE" w:eastAsia="en-US" w:bidi="ar-SA"/>
      </w:rPr>
    </w:lvl>
  </w:abstractNum>
  <w:abstractNum w:abstractNumId="9" w15:restartNumberingAfterBreak="0">
    <w:nsid w:val="575926EF"/>
    <w:multiLevelType w:val="hybridMultilevel"/>
    <w:tmpl w:val="D774023E"/>
    <w:lvl w:ilvl="0" w:tplc="65760036">
      <w:numFmt w:val="bullet"/>
      <w:lvlText w:val="•"/>
      <w:lvlJc w:val="left"/>
      <w:pPr>
        <w:ind w:left="964" w:hanging="284"/>
      </w:pPr>
      <w:rPr>
        <w:rFonts w:ascii="AvenirNext LT Pro Bold" w:eastAsia="AvenirNext LT Pro Bold" w:hAnsi="AvenirNext LT Pro Bold" w:cs="AvenirNext LT Pro Bold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de-DE" w:eastAsia="en-US" w:bidi="ar-SA"/>
      </w:rPr>
    </w:lvl>
    <w:lvl w:ilvl="1" w:tplc="54AA7278">
      <w:numFmt w:val="bullet"/>
      <w:lvlText w:val="•"/>
      <w:lvlJc w:val="left"/>
      <w:pPr>
        <w:ind w:left="1854" w:hanging="284"/>
      </w:pPr>
      <w:rPr>
        <w:rFonts w:hint="default"/>
        <w:lang w:val="de-DE" w:eastAsia="en-US" w:bidi="ar-SA"/>
      </w:rPr>
    </w:lvl>
    <w:lvl w:ilvl="2" w:tplc="03CE3688">
      <w:numFmt w:val="bullet"/>
      <w:lvlText w:val="•"/>
      <w:lvlJc w:val="left"/>
      <w:pPr>
        <w:ind w:left="2749" w:hanging="284"/>
      </w:pPr>
      <w:rPr>
        <w:rFonts w:hint="default"/>
        <w:lang w:val="de-DE" w:eastAsia="en-US" w:bidi="ar-SA"/>
      </w:rPr>
    </w:lvl>
    <w:lvl w:ilvl="3" w:tplc="61822B94">
      <w:numFmt w:val="bullet"/>
      <w:lvlText w:val="•"/>
      <w:lvlJc w:val="left"/>
      <w:pPr>
        <w:ind w:left="3643" w:hanging="284"/>
      </w:pPr>
      <w:rPr>
        <w:rFonts w:hint="default"/>
        <w:lang w:val="de-DE" w:eastAsia="en-US" w:bidi="ar-SA"/>
      </w:rPr>
    </w:lvl>
    <w:lvl w:ilvl="4" w:tplc="1786C03C">
      <w:numFmt w:val="bullet"/>
      <w:lvlText w:val="•"/>
      <w:lvlJc w:val="left"/>
      <w:pPr>
        <w:ind w:left="4538" w:hanging="284"/>
      </w:pPr>
      <w:rPr>
        <w:rFonts w:hint="default"/>
        <w:lang w:val="de-DE" w:eastAsia="en-US" w:bidi="ar-SA"/>
      </w:rPr>
    </w:lvl>
    <w:lvl w:ilvl="5" w:tplc="49223174">
      <w:numFmt w:val="bullet"/>
      <w:lvlText w:val="•"/>
      <w:lvlJc w:val="left"/>
      <w:pPr>
        <w:ind w:left="5432" w:hanging="284"/>
      </w:pPr>
      <w:rPr>
        <w:rFonts w:hint="default"/>
        <w:lang w:val="de-DE" w:eastAsia="en-US" w:bidi="ar-SA"/>
      </w:rPr>
    </w:lvl>
    <w:lvl w:ilvl="6" w:tplc="798664AC">
      <w:numFmt w:val="bullet"/>
      <w:lvlText w:val="•"/>
      <w:lvlJc w:val="left"/>
      <w:pPr>
        <w:ind w:left="6327" w:hanging="284"/>
      </w:pPr>
      <w:rPr>
        <w:rFonts w:hint="default"/>
        <w:lang w:val="de-DE" w:eastAsia="en-US" w:bidi="ar-SA"/>
      </w:rPr>
    </w:lvl>
    <w:lvl w:ilvl="7" w:tplc="AE7C7BF0">
      <w:numFmt w:val="bullet"/>
      <w:lvlText w:val="•"/>
      <w:lvlJc w:val="left"/>
      <w:pPr>
        <w:ind w:left="7221" w:hanging="284"/>
      </w:pPr>
      <w:rPr>
        <w:rFonts w:hint="default"/>
        <w:lang w:val="de-DE" w:eastAsia="en-US" w:bidi="ar-SA"/>
      </w:rPr>
    </w:lvl>
    <w:lvl w:ilvl="8" w:tplc="2814DF14">
      <w:numFmt w:val="bullet"/>
      <w:lvlText w:val="•"/>
      <w:lvlJc w:val="left"/>
      <w:pPr>
        <w:ind w:left="8116" w:hanging="284"/>
      </w:pPr>
      <w:rPr>
        <w:rFonts w:hint="default"/>
        <w:lang w:val="de-DE" w:eastAsia="en-US" w:bidi="ar-SA"/>
      </w:rPr>
    </w:lvl>
  </w:abstractNum>
  <w:num w:numId="1" w16cid:durableId="1193686264">
    <w:abstractNumId w:val="8"/>
  </w:num>
  <w:num w:numId="2" w16cid:durableId="1387951052">
    <w:abstractNumId w:val="3"/>
  </w:num>
  <w:num w:numId="3" w16cid:durableId="1217399118">
    <w:abstractNumId w:val="2"/>
  </w:num>
  <w:num w:numId="4" w16cid:durableId="400568453">
    <w:abstractNumId w:val="1"/>
  </w:num>
  <w:num w:numId="5" w16cid:durableId="2088989209">
    <w:abstractNumId w:val="0"/>
  </w:num>
  <w:num w:numId="6" w16cid:durableId="184565100">
    <w:abstractNumId w:val="9"/>
  </w:num>
  <w:num w:numId="7" w16cid:durableId="927692108">
    <w:abstractNumId w:val="4"/>
  </w:num>
  <w:num w:numId="8" w16cid:durableId="1575629935">
    <w:abstractNumId w:val="5"/>
  </w:num>
  <w:num w:numId="9" w16cid:durableId="482239623">
    <w:abstractNumId w:val="6"/>
  </w:num>
  <w:num w:numId="10" w16cid:durableId="12486855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06"/>
    <w:rsid w:val="000109D8"/>
    <w:rsid w:val="00053456"/>
    <w:rsid w:val="00165CA6"/>
    <w:rsid w:val="00194BED"/>
    <w:rsid w:val="0032644E"/>
    <w:rsid w:val="004B67B6"/>
    <w:rsid w:val="005711E1"/>
    <w:rsid w:val="00572DD9"/>
    <w:rsid w:val="005909B6"/>
    <w:rsid w:val="005E645B"/>
    <w:rsid w:val="007C3C53"/>
    <w:rsid w:val="007D44F5"/>
    <w:rsid w:val="009B2B21"/>
    <w:rsid w:val="009C3F35"/>
    <w:rsid w:val="00AA299A"/>
    <w:rsid w:val="00BF0006"/>
    <w:rsid w:val="00D87D5F"/>
    <w:rsid w:val="00DC404A"/>
    <w:rsid w:val="00D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62BE1C"/>
  <w15:chartTrackingRefBased/>
  <w15:docId w15:val="{4CB5AD7B-22E6-2D49-A3D2-BB14CD36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0006"/>
    <w:pPr>
      <w:widowControl w:val="0"/>
      <w:autoSpaceDE w:val="0"/>
      <w:autoSpaceDN w:val="0"/>
    </w:pPr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F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F0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0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0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000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000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00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00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00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00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00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0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0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BF00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000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000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0006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00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BF0006"/>
    <w:pPr>
      <w:spacing w:before="11"/>
      <w:ind w:left="56"/>
    </w:pPr>
  </w:style>
  <w:style w:type="paragraph" w:styleId="Textkrper">
    <w:name w:val="Body Text"/>
    <w:basedOn w:val="Standard"/>
    <w:link w:val="TextkrperZchn"/>
    <w:uiPriority w:val="1"/>
    <w:qFormat/>
    <w:rsid w:val="00DE6A7E"/>
  </w:style>
  <w:style w:type="character" w:customStyle="1" w:styleId="TextkrperZchn">
    <w:name w:val="Textkörper Zchn"/>
    <w:basedOn w:val="Absatz-Standardschriftart"/>
    <w:link w:val="Textkrper"/>
    <w:uiPriority w:val="1"/>
    <w:rsid w:val="00DE6A7E"/>
    <w:rPr>
      <w:rFonts w:ascii="AvenirNext LT Pro Bold" w:eastAsia="AvenirNext LT Pro Bold" w:hAnsi="AvenirNext LT Pro Bold" w:cs="AvenirNext LT Pro Bold"/>
      <w:kern w:val="0"/>
      <w:sz w:val="22"/>
      <w:szCs w:val="22"/>
      <w14:ligatures w14:val="none"/>
    </w:rPr>
  </w:style>
  <w:style w:type="paragraph" w:customStyle="1" w:styleId="p1">
    <w:name w:val="p1"/>
    <w:basedOn w:val="Standard"/>
    <w:rsid w:val="007D44F5"/>
    <w:pPr>
      <w:widowControl/>
      <w:autoSpaceDE/>
      <w:autoSpaceDN/>
    </w:pPr>
    <w:rPr>
      <w:rFonts w:ascii="Avenir" w:eastAsia="Times New Roman" w:hAnsi="Avenir" w:cs="Times New Roman"/>
      <w:color w:val="000000"/>
      <w:sz w:val="24"/>
      <w:szCs w:val="24"/>
      <w:lang w:eastAsia="de-DE"/>
    </w:rPr>
  </w:style>
  <w:style w:type="paragraph" w:customStyle="1" w:styleId="p2">
    <w:name w:val="p2"/>
    <w:basedOn w:val="Standard"/>
    <w:rsid w:val="007D44F5"/>
    <w:pPr>
      <w:widowControl/>
      <w:autoSpaceDE/>
      <w:autoSpaceDN/>
    </w:pPr>
    <w:rPr>
      <w:rFonts w:ascii="Helvetica" w:eastAsia="Times New Roman" w:hAnsi="Helvetica" w:cs="Times New Roman"/>
      <w:color w:val="000000"/>
      <w:sz w:val="17"/>
      <w:szCs w:val="17"/>
      <w:lang w:eastAsia="de-DE"/>
    </w:rPr>
  </w:style>
  <w:style w:type="character" w:customStyle="1" w:styleId="s1">
    <w:name w:val="s1"/>
    <w:basedOn w:val="Absatz-Standardschriftart"/>
    <w:rsid w:val="005711E1"/>
    <w:rPr>
      <w:rFonts w:ascii="Wingdings" w:hAnsi="Wingdings" w:hint="default"/>
      <w:sz w:val="20"/>
      <w:szCs w:val="20"/>
    </w:rPr>
  </w:style>
  <w:style w:type="paragraph" w:customStyle="1" w:styleId="p3">
    <w:name w:val="p3"/>
    <w:basedOn w:val="Standard"/>
    <w:rsid w:val="004B67B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paragraph" w:customStyle="1" w:styleId="p4">
    <w:name w:val="p4"/>
    <w:basedOn w:val="Standard"/>
    <w:rsid w:val="004B67B6"/>
    <w:pPr>
      <w:widowControl/>
      <w:autoSpaceDE/>
      <w:autoSpaceDN/>
    </w:pPr>
    <w:rPr>
      <w:rFonts w:ascii="Avenir" w:eastAsia="Times New Roman" w:hAnsi="Avenir" w:cs="Times New Roman"/>
      <w:color w:val="FFFFFF"/>
      <w:sz w:val="23"/>
      <w:szCs w:val="23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010B58-AA76-4377-AEDC-847155F30BA8}"/>
</file>

<file path=customXml/itemProps2.xml><?xml version="1.0" encoding="utf-8"?>
<ds:datastoreItem xmlns:ds="http://schemas.openxmlformats.org/officeDocument/2006/customXml" ds:itemID="{5B896AFC-D977-4D0F-92F0-AC9B55D2B893}"/>
</file>

<file path=customXml/itemProps3.xml><?xml version="1.0" encoding="utf-8"?>
<ds:datastoreItem xmlns:ds="http://schemas.openxmlformats.org/officeDocument/2006/customXml" ds:itemID="{D9CC51CD-D9E4-4A01-A95D-17DFF86E2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5610</Characters>
  <Application>Microsoft Office Word</Application>
  <DocSecurity>0</DocSecurity>
  <Lines>46</Lines>
  <Paragraphs>12</Paragraphs>
  <ScaleCrop>false</ScaleCrop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2025-04-14T08:04:00Z</dcterms:created>
  <dcterms:modified xsi:type="dcterms:W3CDTF">2025-04-14T08:04:00Z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