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D2A" w:rsidRDefault="00817D2A" w:rsidP="00817D2A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817D2A">
        <w:rPr>
          <w:rFonts w:asciiTheme="minorHAnsi" w:hAnsiTheme="minorHAnsi" w:cstheme="minorHAnsi"/>
          <w:b/>
          <w:bCs/>
          <w:sz w:val="32"/>
          <w:szCs w:val="32"/>
        </w:rPr>
        <w:t>Muster-Betriebsvereinbarung: Einführung und</w:t>
      </w:r>
      <w:r w:rsidRPr="00817D2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817D2A">
        <w:rPr>
          <w:rFonts w:asciiTheme="minorHAnsi" w:hAnsiTheme="minorHAnsi" w:cstheme="minorHAnsi"/>
          <w:b/>
          <w:bCs/>
          <w:sz w:val="32"/>
          <w:szCs w:val="32"/>
        </w:rPr>
        <w:t>Erweiterung von Computerarbeitsplätzen</w:t>
      </w:r>
    </w:p>
    <w:p w:rsidR="00817D2A" w:rsidRPr="00817D2A" w:rsidRDefault="00817D2A" w:rsidP="00817D2A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</w:p>
    <w:p w:rsidR="00817D2A" w:rsidRPr="00817D2A" w:rsidRDefault="00817D2A" w:rsidP="00817D2A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Zwischen der Betriebsleitung</w:t>
      </w:r>
    </w:p>
    <w:p w:rsidR="00817D2A" w:rsidRPr="00817D2A" w:rsidRDefault="00817D2A" w:rsidP="00817D2A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– vertreten durch … –</w:t>
      </w:r>
    </w:p>
    <w:p w:rsidR="00817D2A" w:rsidRPr="00817D2A" w:rsidRDefault="00817D2A" w:rsidP="00817D2A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und dem Betriebsrat</w:t>
      </w:r>
    </w:p>
    <w:p w:rsidR="00817D2A" w:rsidRPr="00817D2A" w:rsidRDefault="00817D2A" w:rsidP="00817D2A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– vertreten durch die/</w:t>
      </w:r>
      <w:proofErr w:type="gramStart"/>
      <w:r w:rsidRPr="00817D2A">
        <w:rPr>
          <w:rFonts w:asciiTheme="minorHAnsi" w:hAnsiTheme="minorHAnsi" w:cstheme="minorHAnsi"/>
          <w:sz w:val="24"/>
          <w:szCs w:val="24"/>
        </w:rPr>
        <w:t>den Vorsitzende</w:t>
      </w:r>
      <w:proofErr w:type="gramEnd"/>
      <w:r w:rsidRPr="00817D2A">
        <w:rPr>
          <w:rFonts w:asciiTheme="minorHAnsi" w:hAnsiTheme="minorHAnsi" w:cstheme="minorHAnsi"/>
          <w:sz w:val="24"/>
          <w:szCs w:val="24"/>
        </w:rPr>
        <w:t>/n</w:t>
      </w:r>
    </w:p>
    <w:p w:rsidR="00817D2A" w:rsidRPr="00817D2A" w:rsidRDefault="00817D2A" w:rsidP="00817D2A">
      <w:pPr>
        <w:pStyle w:val="p2"/>
        <w:jc w:val="center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wird folgende Betriebsvereinbarung getroffen: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817D2A">
        <w:rPr>
          <w:rFonts w:asciiTheme="minorHAnsi" w:hAnsiTheme="minorHAnsi" w:cstheme="minorHAnsi"/>
          <w:b/>
          <w:bCs/>
          <w:sz w:val="24"/>
          <w:szCs w:val="24"/>
        </w:rPr>
        <w:t>Präambel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 xml:space="preserve">Betriebsrat und Betriebsleitung sind sich darüber einig, </w:t>
      </w:r>
      <w:proofErr w:type="spellStart"/>
      <w:r w:rsidRPr="00817D2A">
        <w:rPr>
          <w:rFonts w:asciiTheme="minorHAnsi" w:hAnsiTheme="minorHAnsi" w:cstheme="minorHAnsi"/>
          <w:sz w:val="24"/>
          <w:szCs w:val="24"/>
        </w:rPr>
        <w:t>dass</w:t>
      </w:r>
      <w:proofErr w:type="spellEnd"/>
      <w:r w:rsidRPr="00817D2A">
        <w:rPr>
          <w:rFonts w:asciiTheme="minorHAnsi" w:hAnsiTheme="minorHAnsi" w:cstheme="minorHAnsi"/>
          <w:sz w:val="24"/>
          <w:szCs w:val="24"/>
        </w:rPr>
        <w:t xml:space="preserve"> bei Einführung oder Erweiterung von Computerarbeitsplätzen der Schutz von Gesundheit, Arbeitsbedingungen und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Arbeitsplätzen der Beschäftigten im Vordergrund steht.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numPr>
          <w:ilvl w:val="0"/>
          <w:numId w:val="1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17D2A">
        <w:rPr>
          <w:rFonts w:asciiTheme="minorHAnsi" w:hAnsiTheme="minorHAnsi" w:cstheme="minorHAnsi"/>
          <w:b/>
          <w:bCs/>
          <w:sz w:val="24"/>
          <w:szCs w:val="24"/>
        </w:rPr>
        <w:t>Geltungsbereich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 xml:space="preserve">Diese Betriebsvereinbarung gilt für alle Beschäftigten des Betriebs, die an einem </w:t>
      </w:r>
      <w:proofErr w:type="spellStart"/>
      <w:r w:rsidRPr="00817D2A">
        <w:rPr>
          <w:rFonts w:asciiTheme="minorHAnsi" w:hAnsiTheme="minorHAnsi" w:cstheme="minorHAnsi"/>
          <w:sz w:val="24"/>
          <w:szCs w:val="24"/>
        </w:rPr>
        <w:t>Compu</w:t>
      </w:r>
      <w:proofErr w:type="spellEnd"/>
      <w:r w:rsidRPr="00817D2A">
        <w:rPr>
          <w:rFonts w:asciiTheme="minorHAnsi" w:hAnsiTheme="minorHAnsi" w:cstheme="minorHAnsi"/>
          <w:sz w:val="24"/>
          <w:szCs w:val="24"/>
        </w:rPr>
        <w:t>-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817D2A">
        <w:rPr>
          <w:rFonts w:asciiTheme="minorHAnsi" w:hAnsiTheme="minorHAnsi" w:cstheme="minorHAnsi"/>
          <w:sz w:val="24"/>
          <w:szCs w:val="24"/>
        </w:rPr>
        <w:t>terarbeitsplatz</w:t>
      </w:r>
      <w:proofErr w:type="spellEnd"/>
      <w:r w:rsidRPr="00817D2A">
        <w:rPr>
          <w:rFonts w:asciiTheme="minorHAnsi" w:hAnsiTheme="minorHAnsi" w:cstheme="minorHAnsi"/>
          <w:sz w:val="24"/>
          <w:szCs w:val="24"/>
        </w:rPr>
        <w:t xml:space="preserve"> tätig sind oder dort beschäftigt werden sollen.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numPr>
          <w:ilvl w:val="0"/>
          <w:numId w:val="1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17D2A">
        <w:rPr>
          <w:rFonts w:asciiTheme="minorHAnsi" w:hAnsiTheme="minorHAnsi" w:cstheme="minorHAnsi"/>
          <w:b/>
          <w:bCs/>
          <w:sz w:val="24"/>
          <w:szCs w:val="24"/>
        </w:rPr>
        <w:t>Ausbildung und Einarbeitung in (neue) Techniken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Die Betriebsleitung verpflichtet sich, bei Bedarf eine rechtzeitige, umfassende und geeignete Schulung sowie eine Einarbeitung in neue Techniken zu veranlassen. Informationsmaterial und Bedienungsanleitungen werden – soweit möglich – in deutscher Sprache zur Verfügung gestellt. Beschäftigte erhalten eine angemessene Einarbeitungszeit (Minimum: drei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Monate). Die Teilnahme an solchen Schulungen ist eine betriebliche Tätigkeit. Die Kosten für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Schulungen trägt der Betrieb. Diese Maßnahmen finden in der Arbeitszeit statt. Sollte dies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nicht möglich sein, wird den Beschäftigten Freizeitausgleich gewährt.</w:t>
      </w:r>
    </w:p>
    <w:p w:rsidR="00817D2A" w:rsidRDefault="00817D2A" w:rsidP="00817D2A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817D2A">
        <w:rPr>
          <w:rFonts w:asciiTheme="minorHAnsi" w:hAnsiTheme="minorHAnsi" w:cstheme="minorHAnsi"/>
          <w:b/>
          <w:bCs/>
          <w:sz w:val="24"/>
          <w:szCs w:val="24"/>
        </w:rPr>
        <w:t>3. Arbeitsgestaltung und Arbeitsschutz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Vor Inbetriebnahme einer neuen Computeranlage findet eine Begehung der Arbeitsplätze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 xml:space="preserve">durch den Betriebsrat, die Betriebsleitung und den betrieblich bestellten Sicherheitsbeauftragten statt. Die Begehung </w:t>
      </w:r>
      <w:proofErr w:type="spellStart"/>
      <w:r w:rsidRPr="00817D2A">
        <w:rPr>
          <w:rFonts w:asciiTheme="minorHAnsi" w:hAnsiTheme="minorHAnsi" w:cstheme="minorHAnsi"/>
          <w:sz w:val="24"/>
          <w:szCs w:val="24"/>
        </w:rPr>
        <w:t>umfasst</w:t>
      </w:r>
      <w:proofErr w:type="spellEnd"/>
      <w:r w:rsidRPr="00817D2A">
        <w:rPr>
          <w:rFonts w:asciiTheme="minorHAnsi" w:hAnsiTheme="minorHAnsi" w:cstheme="minorHAnsi"/>
          <w:sz w:val="24"/>
          <w:szCs w:val="24"/>
        </w:rPr>
        <w:t xml:space="preserve"> auch die Kontrolle der durchzuführenden augenärztlichen Untersuchungen. Eventuell festgestellte Mängel sind noch vor Inbetriebnahme 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7D2A">
        <w:rPr>
          <w:rFonts w:asciiTheme="minorHAnsi" w:hAnsiTheme="minorHAnsi" w:cstheme="minorHAnsi"/>
          <w:sz w:val="24"/>
          <w:szCs w:val="24"/>
        </w:rPr>
        <w:t xml:space="preserve">Computerarbeitsplätze zu beheben. Die Begehung </w:t>
      </w:r>
      <w:proofErr w:type="spellStart"/>
      <w:r w:rsidRPr="00817D2A">
        <w:rPr>
          <w:rFonts w:asciiTheme="minorHAnsi" w:hAnsiTheme="minorHAnsi" w:cstheme="minorHAnsi"/>
          <w:sz w:val="24"/>
          <w:szCs w:val="24"/>
        </w:rPr>
        <w:t>muss</w:t>
      </w:r>
      <w:proofErr w:type="spellEnd"/>
      <w:r w:rsidRPr="00817D2A">
        <w:rPr>
          <w:rFonts w:asciiTheme="minorHAnsi" w:hAnsiTheme="minorHAnsi" w:cstheme="minorHAnsi"/>
          <w:sz w:val="24"/>
          <w:szCs w:val="24"/>
        </w:rPr>
        <w:t xml:space="preserve"> protokolliert werden.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Default="00817D2A" w:rsidP="00817D2A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817D2A">
        <w:rPr>
          <w:rFonts w:asciiTheme="minorHAnsi" w:hAnsiTheme="minorHAnsi" w:cstheme="minorHAnsi"/>
          <w:b/>
          <w:bCs/>
          <w:sz w:val="24"/>
          <w:szCs w:val="24"/>
        </w:rPr>
        <w:t>4. Arbeitsplatzsicherung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Ändern sich durch neue Techniken die Anforderungen an einen Arbeitsplatz wesentlich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oder sprechen gesundheitliche oder sonstige Gründe gegen eine Weiterbeschäftigung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unter den neuen Anforderungen, wird sich der Betrieb bemühen, durch geeignete Maßnahmen (Umschulung, Umsetzung usw.) den Arbeitsplatzinhaber auf seinem bisherigen oder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einem anderen zumutbaren Arbeitsplatz weiter zu beschäftigen.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817D2A">
        <w:rPr>
          <w:rFonts w:asciiTheme="minorHAnsi" w:hAnsiTheme="minorHAnsi" w:cstheme="minorHAnsi"/>
          <w:b/>
          <w:bCs/>
          <w:sz w:val="24"/>
          <w:szCs w:val="24"/>
        </w:rPr>
        <w:lastRenderedPageBreak/>
        <w:t>5. Protokolldateien (</w:t>
      </w:r>
      <w:proofErr w:type="spellStart"/>
      <w:r w:rsidRPr="00817D2A">
        <w:rPr>
          <w:rFonts w:asciiTheme="minorHAnsi" w:hAnsiTheme="minorHAnsi" w:cstheme="minorHAnsi"/>
          <w:b/>
          <w:bCs/>
          <w:sz w:val="24"/>
          <w:szCs w:val="24"/>
        </w:rPr>
        <w:t>Temporary</w:t>
      </w:r>
      <w:proofErr w:type="spellEnd"/>
      <w:r w:rsidRPr="00817D2A">
        <w:rPr>
          <w:rFonts w:asciiTheme="minorHAnsi" w:hAnsiTheme="minorHAnsi" w:cstheme="minorHAnsi"/>
          <w:b/>
          <w:bCs/>
          <w:sz w:val="24"/>
          <w:szCs w:val="24"/>
        </w:rPr>
        <w:t xml:space="preserve"> Internet Files)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 xml:space="preserve">Bei Computerarbeitsplätzen ist generell auszuschließen, </w:t>
      </w:r>
      <w:proofErr w:type="spellStart"/>
      <w:r w:rsidRPr="00817D2A">
        <w:rPr>
          <w:rFonts w:asciiTheme="minorHAnsi" w:hAnsiTheme="minorHAnsi" w:cstheme="minorHAnsi"/>
          <w:sz w:val="24"/>
          <w:szCs w:val="24"/>
        </w:rPr>
        <w:t>dass</w:t>
      </w:r>
      <w:proofErr w:type="spellEnd"/>
      <w:r w:rsidRPr="00817D2A">
        <w:rPr>
          <w:rFonts w:asciiTheme="minorHAnsi" w:hAnsiTheme="minorHAnsi" w:cstheme="minorHAnsi"/>
          <w:sz w:val="24"/>
          <w:szCs w:val="24"/>
        </w:rPr>
        <w:t xml:space="preserve"> die durch den Computer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selbst erstellten Protokolle über die Aus- und Einschaltzeiten beziehungsweise eigene Eingaben zur Leistungs- und Verhaltenskontrolle verwendet werden.</w:t>
      </w:r>
    </w:p>
    <w:p w:rsidR="00817D2A" w:rsidRPr="00817D2A" w:rsidRDefault="00817D2A" w:rsidP="00817D2A">
      <w:pPr>
        <w:pStyle w:val="p4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III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b/>
          <w:bCs/>
          <w:sz w:val="24"/>
          <w:szCs w:val="24"/>
        </w:rPr>
      </w:pPr>
      <w:r w:rsidRPr="00817D2A">
        <w:rPr>
          <w:rFonts w:asciiTheme="minorHAnsi" w:hAnsiTheme="minorHAnsi" w:cstheme="minorHAnsi"/>
          <w:b/>
          <w:bCs/>
          <w:sz w:val="24"/>
          <w:szCs w:val="24"/>
        </w:rPr>
        <w:t>6. Inkrafttreten und Kündigung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 xml:space="preserve">Diese Betriebsvereinbarung tritt am … in Kraft. Sie kann von jedem Vertragspartner jederzeit schriftlich mit einer Frist von drei Monaten gekündigt werden. Bis zum </w:t>
      </w:r>
      <w:proofErr w:type="spellStart"/>
      <w:r w:rsidRPr="00817D2A">
        <w:rPr>
          <w:rFonts w:asciiTheme="minorHAnsi" w:hAnsiTheme="minorHAnsi" w:cstheme="minorHAnsi"/>
          <w:sz w:val="24"/>
          <w:szCs w:val="24"/>
        </w:rPr>
        <w:t>Abschluss</w:t>
      </w:r>
      <w:proofErr w:type="spellEnd"/>
      <w:r w:rsidRPr="00817D2A">
        <w:rPr>
          <w:rFonts w:asciiTheme="minorHAnsi" w:hAnsiTheme="minorHAnsi" w:cstheme="minorHAnsi"/>
          <w:sz w:val="24"/>
          <w:szCs w:val="24"/>
        </w:rPr>
        <w:t xml:space="preserve"> einer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neuen Betriebsvereinbarung wirken die Regelungen dieser Vereinbarung nach. Änderungen, Ergänzungen oder Nebenabreden zu dieser Betriebsvereinbarung bedürfen zu ihrer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Wirksamkeit der Schriftform.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Ort, Datum</w:t>
      </w: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</w:p>
    <w:p w:rsidR="00817D2A" w:rsidRPr="00817D2A" w:rsidRDefault="00817D2A" w:rsidP="00817D2A">
      <w:pPr>
        <w:pStyle w:val="p2"/>
        <w:rPr>
          <w:rFonts w:asciiTheme="minorHAnsi" w:hAnsiTheme="minorHAnsi" w:cstheme="minorHAnsi"/>
          <w:sz w:val="24"/>
          <w:szCs w:val="24"/>
        </w:rPr>
      </w:pPr>
      <w:r w:rsidRPr="00817D2A">
        <w:rPr>
          <w:rFonts w:asciiTheme="minorHAnsi" w:hAnsiTheme="minorHAnsi" w:cstheme="minorHAnsi"/>
          <w:sz w:val="24"/>
          <w:szCs w:val="24"/>
        </w:rPr>
        <w:t>Unterschrift</w:t>
      </w:r>
    </w:p>
    <w:p w:rsidR="00D87D5F" w:rsidRPr="00817D2A" w:rsidRDefault="00D87D5F" w:rsidP="00817D2A">
      <w:pPr>
        <w:rPr>
          <w:rFonts w:asciiTheme="minorHAnsi" w:hAnsiTheme="minorHAnsi" w:cstheme="minorHAnsi"/>
          <w:sz w:val="24"/>
          <w:szCs w:val="24"/>
        </w:rPr>
      </w:pPr>
    </w:p>
    <w:sectPr w:rsidR="00D87D5F" w:rsidRPr="00817D2A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6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1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15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num w:numId="1" w16cid:durableId="1193686264">
    <w:abstractNumId w:val="13"/>
  </w:num>
  <w:num w:numId="2" w16cid:durableId="1387951052">
    <w:abstractNumId w:val="6"/>
  </w:num>
  <w:num w:numId="3" w16cid:durableId="1217399118">
    <w:abstractNumId w:val="3"/>
  </w:num>
  <w:num w:numId="4" w16cid:durableId="400568453">
    <w:abstractNumId w:val="2"/>
  </w:num>
  <w:num w:numId="5" w16cid:durableId="2088989209">
    <w:abstractNumId w:val="0"/>
  </w:num>
  <w:num w:numId="6" w16cid:durableId="184565100">
    <w:abstractNumId w:val="14"/>
  </w:num>
  <w:num w:numId="7" w16cid:durableId="927692108">
    <w:abstractNumId w:val="7"/>
  </w:num>
  <w:num w:numId="8" w16cid:durableId="1575629935">
    <w:abstractNumId w:val="9"/>
  </w:num>
  <w:num w:numId="9" w16cid:durableId="482239623">
    <w:abstractNumId w:val="11"/>
  </w:num>
  <w:num w:numId="10" w16cid:durableId="1248685542">
    <w:abstractNumId w:val="12"/>
  </w:num>
  <w:num w:numId="11" w16cid:durableId="24525292">
    <w:abstractNumId w:val="4"/>
  </w:num>
  <w:num w:numId="12" w16cid:durableId="1992638125">
    <w:abstractNumId w:val="16"/>
  </w:num>
  <w:num w:numId="13" w16cid:durableId="1850636646">
    <w:abstractNumId w:val="15"/>
  </w:num>
  <w:num w:numId="14" w16cid:durableId="1183318661">
    <w:abstractNumId w:val="5"/>
  </w:num>
  <w:num w:numId="15" w16cid:durableId="592008402">
    <w:abstractNumId w:val="8"/>
  </w:num>
  <w:num w:numId="16" w16cid:durableId="685138690">
    <w:abstractNumId w:val="10"/>
  </w:num>
  <w:num w:numId="17" w16cid:durableId="48381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909B6"/>
    <w:rsid w:val="005E645B"/>
    <w:rsid w:val="007C3C53"/>
    <w:rsid w:val="007D44F5"/>
    <w:rsid w:val="00817D2A"/>
    <w:rsid w:val="008372F3"/>
    <w:rsid w:val="009B2B21"/>
    <w:rsid w:val="009C3F35"/>
    <w:rsid w:val="00A1178B"/>
    <w:rsid w:val="00AA299A"/>
    <w:rsid w:val="00BF0006"/>
    <w:rsid w:val="00D87D5F"/>
    <w:rsid w:val="00DC404A"/>
    <w:rsid w:val="00DE6A7E"/>
    <w:rsid w:val="00E9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08912-D56F-4213-8ED6-D9BBDECB3C06}"/>
</file>

<file path=customXml/itemProps2.xml><?xml version="1.0" encoding="utf-8"?>
<ds:datastoreItem xmlns:ds="http://schemas.openxmlformats.org/officeDocument/2006/customXml" ds:itemID="{3190D110-82E1-4FDD-ABB4-F5F13905C631}"/>
</file>

<file path=customXml/itemProps3.xml><?xml version="1.0" encoding="utf-8"?>
<ds:datastoreItem xmlns:ds="http://schemas.openxmlformats.org/officeDocument/2006/customXml" ds:itemID="{70A3E641-125E-4EF4-AE62-266B772CD4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2025-04-14T18:52:00Z</dcterms:created>
  <dcterms:modified xsi:type="dcterms:W3CDTF">2025-04-14T18:52:00Z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