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AB9" w:rsidRPr="005E2AB9" w:rsidRDefault="005E2AB9" w:rsidP="005E2AB9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5E2AB9">
        <w:rPr>
          <w:rFonts w:asciiTheme="minorHAnsi" w:hAnsiTheme="minorHAnsi" w:cstheme="minorHAnsi"/>
          <w:b/>
          <w:bCs/>
          <w:sz w:val="32"/>
          <w:szCs w:val="32"/>
        </w:rPr>
        <w:t>Muster-Regelungsvereinbarung: Abmahnung</w:t>
      </w:r>
    </w:p>
    <w:p w:rsid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Zwischen der Betriebsleitung</w:t>
      </w: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und</w:t>
      </w: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dem Betriebsrat</w:t>
      </w: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5E2AB9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5E2AB9">
        <w:rPr>
          <w:rFonts w:asciiTheme="minorHAnsi" w:hAnsiTheme="minorHAnsi" w:cstheme="minorHAnsi"/>
          <w:sz w:val="24"/>
          <w:szCs w:val="24"/>
        </w:rPr>
        <w:t>/n –</w:t>
      </w:r>
    </w:p>
    <w:p w:rsidR="005E2AB9" w:rsidRPr="005E2AB9" w:rsidRDefault="005E2AB9" w:rsidP="005E2AB9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wird folgende Regelungsvereinbarung geschlossen: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>§ 1 Persönlicher Geltungsbereich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Diese Regelungsvereinbarung gilt für alle Beschäftigten des Betriebs.</w:t>
      </w:r>
    </w:p>
    <w:p w:rsid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>§ 2 Regelungsgegenstand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Mit dieser Regelungsvereinbarung werden die Erteilung, Verwirkung und Tilgung von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Abmahnungen geregelt. Abmahnungen werden wegen Pflichtverletzungen von Beschäftigten im vertraglichen Leistungsbereich erteilt.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>§ 3 Anhörung</w:t>
      </w:r>
    </w:p>
    <w:p w:rsidR="005E2AB9" w:rsidRPr="005E2AB9" w:rsidRDefault="005E2AB9" w:rsidP="005E2AB9">
      <w:pPr>
        <w:pStyle w:val="p2"/>
        <w:spacing w:before="240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1. Die Betriebsleitung verpflichtet sich, betroffene Beschäftigte vor Erteilung der Abmahnung anzuhören. Auf Wunsch der Beschäftigten ist ein Vertreter des Betriebsrats zur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Anhörung hinzuzuziehen.</w:t>
      </w:r>
    </w:p>
    <w:p w:rsidR="005E2AB9" w:rsidRPr="005E2AB9" w:rsidRDefault="005E2AB9" w:rsidP="005E2AB9">
      <w:pPr>
        <w:pStyle w:val="p2"/>
        <w:spacing w:before="240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2. Die Anhörung hat innerhalb von acht Arbeitstagen nach dem Bekanntwerden der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Pflichtverletzung zu erfolgen. Bekannt geworden ist die Pflichtverletzung, wenn der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Abmahnungsberechtigte von ihr Kenntnis erlangt hat.</w:t>
      </w:r>
    </w:p>
    <w:p w:rsidR="005E2AB9" w:rsidRPr="005E2AB9" w:rsidRDefault="005E2AB9" w:rsidP="005E2AB9">
      <w:pPr>
        <w:pStyle w:val="p2"/>
        <w:spacing w:before="240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3. Falls der Anhörung Hinderungsgründe entgegenstehen, die in der Person der betroffenen Beschäftigten liegen, beginnt die Frist am individuellen Arbeitstag nach dem Weg-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fall des Hindernisses zu laufen.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>§ 4 Verwirkung der Abmahnungsberechtigung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Die Betriebsleitung verwirkt ihr Recht zur Abmahnung, wenn der Abmahnungsberechtigte nicht innerhalb von vier Wochen nach dem Bekanntwerden der Pflichtverletzung das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Abmahnungsrecht ausübt.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>§ 5 Tilgung der Abmahnung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Nach einer Wohlverhaltensphase von einem Jahr werden auf entsprechenden Antrag der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betroffenen Beschäftigten die Abmahnung und die damit im Zusammenhang stehenden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schriftlichen Aufzeichnungen ersatzlos und vollständig aus der Personalakte entfernt.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5E2AB9">
        <w:rPr>
          <w:rFonts w:asciiTheme="minorHAnsi" w:hAnsiTheme="minorHAnsi" w:cstheme="minorHAnsi"/>
          <w:b/>
          <w:bCs/>
          <w:sz w:val="24"/>
          <w:szCs w:val="24"/>
        </w:rPr>
        <w:t xml:space="preserve">§ 6 </w:t>
      </w:r>
      <w:proofErr w:type="spellStart"/>
      <w:r w:rsidRPr="005E2AB9">
        <w:rPr>
          <w:rFonts w:asciiTheme="minorHAnsi" w:hAnsiTheme="minorHAnsi" w:cstheme="minorHAnsi"/>
          <w:b/>
          <w:bCs/>
          <w:sz w:val="24"/>
          <w:szCs w:val="24"/>
        </w:rPr>
        <w:t>Schlussbestimmungen</w:t>
      </w:r>
      <w:proofErr w:type="spellEnd"/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Diese Regelungsvereinbarung tritt mit ihrer Unterzeichnung in Kraft. Sie kann schriftlich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von jeder Seite mit einer Frist von drei Kalendermonaten gekündigt werden.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Ort, Datum</w:t>
      </w:r>
    </w:p>
    <w:p w:rsid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5E2AB9" w:rsidRPr="005E2AB9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B0210F" w:rsidRPr="00B0210F" w:rsidRDefault="005E2AB9" w:rsidP="005E2AB9">
      <w:pPr>
        <w:pStyle w:val="p2"/>
        <w:rPr>
          <w:rFonts w:asciiTheme="minorHAnsi" w:hAnsiTheme="minorHAnsi" w:cstheme="minorHAnsi"/>
          <w:sz w:val="24"/>
          <w:szCs w:val="24"/>
        </w:rPr>
      </w:pPr>
      <w:r w:rsidRPr="005E2AB9">
        <w:rPr>
          <w:rFonts w:asciiTheme="minorHAnsi" w:hAnsiTheme="minorHAnsi" w:cstheme="minorHAnsi"/>
          <w:sz w:val="24"/>
          <w:szCs w:val="24"/>
        </w:rPr>
        <w:t>Unterschriften</w:t>
      </w:r>
    </w:p>
    <w:sectPr w:rsidR="00B0210F" w:rsidRPr="00B0210F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7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1"/>
  </w:num>
  <w:num w:numId="2" w16cid:durableId="1387951052">
    <w:abstractNumId w:val="10"/>
  </w:num>
  <w:num w:numId="3" w16cid:durableId="1217399118">
    <w:abstractNumId w:val="5"/>
  </w:num>
  <w:num w:numId="4" w16cid:durableId="400568453">
    <w:abstractNumId w:val="4"/>
  </w:num>
  <w:num w:numId="5" w16cid:durableId="2088989209">
    <w:abstractNumId w:val="0"/>
  </w:num>
  <w:num w:numId="6" w16cid:durableId="184565100">
    <w:abstractNumId w:val="23"/>
  </w:num>
  <w:num w:numId="7" w16cid:durableId="927692108">
    <w:abstractNumId w:val="12"/>
  </w:num>
  <w:num w:numId="8" w16cid:durableId="1575629935">
    <w:abstractNumId w:val="14"/>
  </w:num>
  <w:num w:numId="9" w16cid:durableId="482239623">
    <w:abstractNumId w:val="17"/>
  </w:num>
  <w:num w:numId="10" w16cid:durableId="1248685542">
    <w:abstractNumId w:val="20"/>
  </w:num>
  <w:num w:numId="11" w16cid:durableId="24525292">
    <w:abstractNumId w:val="7"/>
  </w:num>
  <w:num w:numId="12" w16cid:durableId="1992638125">
    <w:abstractNumId w:val="25"/>
  </w:num>
  <w:num w:numId="13" w16cid:durableId="1850636646">
    <w:abstractNumId w:val="24"/>
  </w:num>
  <w:num w:numId="14" w16cid:durableId="1183318661">
    <w:abstractNumId w:val="8"/>
  </w:num>
  <w:num w:numId="15" w16cid:durableId="592008402">
    <w:abstractNumId w:val="13"/>
  </w:num>
  <w:num w:numId="16" w16cid:durableId="685138690">
    <w:abstractNumId w:val="16"/>
  </w:num>
  <w:num w:numId="17" w16cid:durableId="483816746">
    <w:abstractNumId w:val="2"/>
  </w:num>
  <w:num w:numId="18" w16cid:durableId="498277021">
    <w:abstractNumId w:val="11"/>
  </w:num>
  <w:num w:numId="19" w16cid:durableId="2117410205">
    <w:abstractNumId w:val="28"/>
  </w:num>
  <w:num w:numId="20" w16cid:durableId="1952202596">
    <w:abstractNumId w:val="6"/>
  </w:num>
  <w:num w:numId="21" w16cid:durableId="1409377666">
    <w:abstractNumId w:val="27"/>
  </w:num>
  <w:num w:numId="22" w16cid:durableId="704646654">
    <w:abstractNumId w:val="26"/>
  </w:num>
  <w:num w:numId="23" w16cid:durableId="1980067040">
    <w:abstractNumId w:val="3"/>
  </w:num>
  <w:num w:numId="24" w16cid:durableId="550000861">
    <w:abstractNumId w:val="22"/>
  </w:num>
  <w:num w:numId="25" w16cid:durableId="1480732829">
    <w:abstractNumId w:val="9"/>
  </w:num>
  <w:num w:numId="26" w16cid:durableId="103619110">
    <w:abstractNumId w:val="19"/>
  </w:num>
  <w:num w:numId="27" w16cid:durableId="884368632">
    <w:abstractNumId w:val="15"/>
  </w:num>
  <w:num w:numId="28" w16cid:durableId="851530328">
    <w:abstractNumId w:val="18"/>
  </w:num>
  <w:num w:numId="29" w16cid:durableId="79975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2AB9"/>
    <w:rsid w:val="005E645B"/>
    <w:rsid w:val="006E37A6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F0A80-5F8A-4A60-A459-434456FD09FD}"/>
</file>

<file path=customXml/itemProps2.xml><?xml version="1.0" encoding="utf-8"?>
<ds:datastoreItem xmlns:ds="http://schemas.openxmlformats.org/officeDocument/2006/customXml" ds:itemID="{8A22CDEC-4D09-4408-9271-0E6F21D9351E}"/>
</file>

<file path=customXml/itemProps3.xml><?xml version="1.0" encoding="utf-8"?>
<ds:datastoreItem xmlns:ds="http://schemas.openxmlformats.org/officeDocument/2006/customXml" ds:itemID="{59E43B10-BDA7-4BBD-A087-E72F09E10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2025-04-14T19:57:00Z</dcterms:created>
  <dcterms:modified xsi:type="dcterms:W3CDTF">2025-04-14T19:57:00Z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