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7A6" w:rsidRPr="006E37A6" w:rsidRDefault="006E37A6" w:rsidP="006E37A6">
      <w:pPr>
        <w:pStyle w:val="berschrift3"/>
        <w:tabs>
          <w:tab w:val="left" w:pos="1400"/>
        </w:tabs>
        <w:spacing w:before="121" w:line="211" w:lineRule="auto"/>
        <w:ind w:right="428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_250023"/>
      <w:r w:rsidRPr="006E37A6">
        <w:rPr>
          <w:rFonts w:asciiTheme="minorHAnsi" w:hAnsiTheme="minorHAnsi" w:cstheme="minorHAnsi"/>
          <w:b/>
          <w:bCs/>
          <w:color w:val="231F20"/>
          <w:sz w:val="32"/>
          <w:szCs w:val="32"/>
        </w:rPr>
        <w:t>Übersicht:</w:t>
      </w:r>
      <w:r w:rsidRPr="006E37A6">
        <w:rPr>
          <w:rFonts w:asciiTheme="minorHAnsi" w:hAnsiTheme="minorHAnsi" w:cstheme="minorHAnsi"/>
          <w:b/>
          <w:bCs/>
          <w:color w:val="231F20"/>
          <w:spacing w:val="-23"/>
          <w:sz w:val="32"/>
          <w:szCs w:val="32"/>
        </w:rPr>
        <w:t xml:space="preserve"> </w:t>
      </w:r>
      <w:r w:rsidRPr="006E37A6">
        <w:rPr>
          <w:rFonts w:asciiTheme="minorHAnsi" w:hAnsiTheme="minorHAnsi" w:cstheme="minorHAnsi"/>
          <w:b/>
          <w:bCs/>
          <w:color w:val="231F20"/>
          <w:sz w:val="32"/>
          <w:szCs w:val="32"/>
        </w:rPr>
        <w:t>Voraussetzungen</w:t>
      </w:r>
      <w:r w:rsidRPr="006E37A6">
        <w:rPr>
          <w:rFonts w:asciiTheme="minorHAnsi" w:hAnsiTheme="minorHAnsi" w:cstheme="minorHAnsi"/>
          <w:b/>
          <w:bCs/>
          <w:color w:val="231F20"/>
          <w:spacing w:val="-22"/>
          <w:sz w:val="32"/>
          <w:szCs w:val="32"/>
        </w:rPr>
        <w:t xml:space="preserve"> </w:t>
      </w:r>
      <w:r w:rsidRPr="006E37A6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des </w:t>
      </w:r>
      <w:bookmarkEnd w:id="0"/>
      <w:r w:rsidRPr="006E37A6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Sonderkündigungsschutzes</w:t>
      </w:r>
    </w:p>
    <w:p w:rsidR="006E37A6" w:rsidRPr="006E37A6" w:rsidRDefault="006E37A6" w:rsidP="006E37A6">
      <w:pPr>
        <w:pStyle w:val="Textkrper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6E37A6" w:rsidRPr="006E37A6" w:rsidTr="006E37A6">
        <w:trPr>
          <w:trHeight w:val="269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E37A6">
              <w:rPr>
                <w:rFonts w:asciiTheme="minorHAnsi" w:hAnsiTheme="minorHAnsi" w:cstheme="minorHAnsi"/>
                <w:b/>
                <w:color w:val="231F20"/>
                <w:spacing w:val="-2"/>
              </w:rPr>
              <w:t>Betroffene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E37A6">
              <w:rPr>
                <w:rFonts w:asciiTheme="minorHAnsi" w:hAnsiTheme="minorHAnsi" w:cstheme="minorHAnsi"/>
                <w:b/>
                <w:color w:val="231F20"/>
                <w:spacing w:val="-2"/>
              </w:rPr>
              <w:t>Anmerkung</w:t>
            </w:r>
            <w:proofErr w:type="spellEnd"/>
          </w:p>
        </w:tc>
      </w:tr>
      <w:tr w:rsidR="006E37A6" w:rsidRPr="006E37A6" w:rsidTr="006E37A6">
        <w:trPr>
          <w:trHeight w:val="129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Auszubildende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r w:rsidRPr="006E37A6">
              <w:rPr>
                <w:rFonts w:asciiTheme="minorHAnsi" w:hAnsiTheme="minorHAnsi" w:cstheme="minorHAnsi"/>
                <w:color w:val="231F20"/>
              </w:rPr>
              <w:t xml:space="preserve">Die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ordentliche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eines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Auszubildenden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ist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nur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während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der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- bis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viermonatigen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Probezeit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möglich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(§ 20 Abs.</w:t>
            </w:r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2</w:t>
            </w:r>
            <w:r w:rsidRPr="006E37A6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Berufsbildungsgesetz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,</w:t>
            </w:r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BBiG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).</w:t>
            </w:r>
            <w:r w:rsidRPr="006E37A6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Nach</w:t>
            </w:r>
            <w:r w:rsidRPr="006E37A6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Ablauf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der</w:t>
            </w:r>
            <w:r w:rsidRPr="006E37A6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Probezeit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können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Auszubildende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nur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noch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wichtigem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 xml:space="preserve">Grund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gekün</w:t>
            </w:r>
            <w:r w:rsidRPr="006E37A6">
              <w:rPr>
                <w:rFonts w:asciiTheme="minorHAnsi" w:hAnsiTheme="minorHAnsi" w:cstheme="minorHAnsi"/>
                <w:color w:val="231F20"/>
              </w:rPr>
              <w:t>digt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werden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(§</w:t>
            </w:r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22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Abs.</w:t>
            </w:r>
            <w:r w:rsidRPr="006E37A6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2</w:t>
            </w:r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Nr.</w:t>
            </w:r>
            <w:r w:rsidRPr="006E37A6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BBiG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).</w:t>
            </w:r>
          </w:p>
        </w:tc>
      </w:tr>
      <w:tr w:rsidR="006E37A6" w:rsidRPr="006E37A6" w:rsidTr="006E37A6">
        <w:trPr>
          <w:trHeight w:val="155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Schwerbehinderte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Mitarbeitende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 w:right="65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Ist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schwerbehinderte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Person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länger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als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sechs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Monate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in dem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Betrieb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beschäftigt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braucht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Ihre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Betriebsleitung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für die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die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vorherige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Zustimmung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des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Integrationsamts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(§§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168,</w:t>
            </w:r>
            <w:r w:rsidRPr="006E37A6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178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Sozialgesetzbuch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(SGB)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IX).</w:t>
            </w:r>
            <w:r w:rsidRPr="006E37A6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Existiert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Schwerbehindertenvertretung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, muss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diese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vor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der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angehört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werden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(§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178</w:t>
            </w:r>
            <w:r w:rsidRPr="006E37A6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Abs.</w:t>
            </w:r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2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SGB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  <w:spacing w:val="-4"/>
              </w:rPr>
              <w:t>IX).</w:t>
            </w:r>
          </w:p>
        </w:tc>
      </w:tr>
      <w:tr w:rsidR="006E37A6" w:rsidRPr="006E37A6" w:rsidTr="006E37A6">
        <w:trPr>
          <w:trHeight w:val="651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Schwangere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,</w:t>
            </w:r>
            <w:r w:rsidRPr="006E37A6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junge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Mütter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 w:right="137"/>
              <w:rPr>
                <w:rFonts w:asciiTheme="minorHAnsi" w:hAnsiTheme="minorHAnsi" w:cstheme="minorHAnsi"/>
              </w:rPr>
            </w:pPr>
            <w:r w:rsidRPr="006E37A6">
              <w:rPr>
                <w:rFonts w:asciiTheme="minorHAnsi" w:hAnsiTheme="minorHAnsi" w:cstheme="minorHAnsi"/>
                <w:color w:val="231F20"/>
              </w:rPr>
              <w:t>Die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ist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vom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Beginn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der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Schwangerschaft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an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 xml:space="preserve">bis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zum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Ablauf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von vier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Monaten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nach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der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Geburt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unzulässig</w:t>
            </w:r>
            <w:proofErr w:type="spellEnd"/>
          </w:p>
        </w:tc>
      </w:tr>
      <w:tr w:rsidR="006E37A6" w:rsidRPr="006E37A6" w:rsidTr="006E37A6">
        <w:trPr>
          <w:trHeight w:val="77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Beschäftigte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in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Elternzeit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r w:rsidRPr="006E37A6">
              <w:rPr>
                <w:rFonts w:asciiTheme="minorHAnsi" w:hAnsiTheme="minorHAnsi" w:cstheme="minorHAnsi"/>
                <w:color w:val="231F20"/>
              </w:rPr>
              <w:t>(§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17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Mutterschutzgesetz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).</w:t>
            </w:r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Die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für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den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Mutterschutz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zuständige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Behörde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kann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die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beabsichtigte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etwa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bei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besonders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schweren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Vergehen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für</w:t>
            </w:r>
            <w:r w:rsidRPr="006E37A6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zulässig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erklären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</w:tc>
      </w:tr>
      <w:tr w:rsidR="006E37A6" w:rsidRPr="006E37A6" w:rsidTr="006E37A6">
        <w:trPr>
          <w:trHeight w:val="181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Beschäftigte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in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Pflegezeit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 w:right="65"/>
              <w:rPr>
                <w:rFonts w:asciiTheme="minorHAnsi" w:hAnsiTheme="minorHAnsi" w:cstheme="minorHAnsi"/>
              </w:rPr>
            </w:pPr>
            <w:r w:rsidRPr="006E37A6">
              <w:rPr>
                <w:rFonts w:asciiTheme="minorHAnsi" w:hAnsiTheme="minorHAnsi" w:cstheme="minorHAnsi"/>
                <w:color w:val="231F20"/>
              </w:rPr>
              <w:t>Ab</w:t>
            </w:r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dem</w:t>
            </w:r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Zeitpunkt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,</w:t>
            </w:r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ab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dem</w:t>
            </w:r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Beschäftigte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Elternzeit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beansprucht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haben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höchstens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aber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acht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Wochen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vor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Beginn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der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Elternzeit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darf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ihnen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Ihre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Betriebsleitung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bis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zum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Ende der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Elternzeit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nicht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(§ 18 Abs. 1 Satz 1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Bundeselterngeld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- und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Elternzeitgesetz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, BEEG). Die für den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Arbeitsschutz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zuständige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oberste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Landesbehörde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kann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die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aber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für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zulässig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erklären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(§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18</w:t>
            </w:r>
            <w:r w:rsidRPr="006E37A6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Abs.</w:t>
            </w:r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Satz 2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bis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 xml:space="preserve">4 </w:t>
            </w:r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BEEG).</w:t>
            </w:r>
          </w:p>
        </w:tc>
      </w:tr>
      <w:tr w:rsidR="006E37A6" w:rsidRPr="006E37A6" w:rsidTr="006E37A6">
        <w:trPr>
          <w:trHeight w:val="77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Betriebsratsmitglieder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r w:rsidRPr="006E37A6">
              <w:rPr>
                <w:rFonts w:asciiTheme="minorHAnsi" w:hAnsiTheme="minorHAnsi" w:cstheme="minorHAnsi"/>
                <w:color w:val="231F20"/>
              </w:rPr>
              <w:t>Hier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besteht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Kündigungsschutz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von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dem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Zeitpunkt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an,</w:t>
            </w:r>
            <w:r w:rsidRPr="006E37A6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 xml:space="preserve">dem die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Pflegezeit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angekündigt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wird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, bis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zum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Ende der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Pflegezeit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(§ 5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Pflegezeitgesetz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).</w:t>
            </w:r>
          </w:p>
        </w:tc>
      </w:tr>
      <w:tr w:rsidR="006E37A6" w:rsidRPr="006E37A6" w:rsidTr="006E37A6">
        <w:trPr>
          <w:trHeight w:val="103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Schwerbehindertenvertretung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 w:right="299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Betriebsratsmitgliedern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darf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während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ihrer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Amtszeit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und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 xml:space="preserve">bis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Jahr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danach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nicht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ordentlich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,</w:t>
            </w:r>
            <w:r w:rsidRPr="006E37A6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sondern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nur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wichtigem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Grund</w:t>
            </w:r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gekündigt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werden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(§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15</w:t>
            </w:r>
            <w:r w:rsidRPr="006E37A6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Abs.</w:t>
            </w:r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1</w:t>
            </w:r>
            <w:r w:rsidRPr="006E37A6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Kündigungsschutzge</w:t>
            </w:r>
            <w:r w:rsidRPr="006E37A6">
              <w:rPr>
                <w:rFonts w:asciiTheme="minorHAnsi" w:hAnsiTheme="minorHAnsi" w:cstheme="minorHAnsi"/>
                <w:color w:val="231F20"/>
              </w:rPr>
              <w:t>setz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,</w:t>
            </w:r>
            <w:r w:rsidRPr="006E37A6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KSchG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).</w:t>
            </w:r>
          </w:p>
        </w:tc>
      </w:tr>
      <w:tr w:rsidR="006E37A6" w:rsidRPr="006E37A6" w:rsidTr="006E37A6">
        <w:trPr>
          <w:trHeight w:val="103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r w:rsidRPr="006E37A6">
              <w:rPr>
                <w:rFonts w:asciiTheme="minorHAnsi" w:hAnsiTheme="minorHAnsi" w:cstheme="minorHAnsi"/>
                <w:color w:val="231F20"/>
              </w:rPr>
              <w:t>„</w:t>
            </w:r>
            <w:proofErr w:type="spellStart"/>
            <w:proofErr w:type="gramStart"/>
            <w:r w:rsidRPr="006E37A6">
              <w:rPr>
                <w:rFonts w:asciiTheme="minorHAnsi" w:hAnsiTheme="minorHAnsi" w:cstheme="minorHAnsi"/>
                <w:color w:val="231F20"/>
              </w:rPr>
              <w:t>Unkündbare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“</w:t>
            </w:r>
            <w:r w:rsidRPr="006E37A6">
              <w:rPr>
                <w:rFonts w:asciiTheme="minorHAnsi" w:hAnsiTheme="minorHAnsi" w:cstheme="minorHAnsi"/>
                <w:color w:val="231F20"/>
                <w:spacing w:val="-14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Beschäftigte</w:t>
            </w:r>
            <w:proofErr w:type="spellEnd"/>
            <w:proofErr w:type="gramEnd"/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Mitglieder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von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Schwerbehindertenvertretungen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genießen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gemäß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§ 96 Abs. 3 SGB IX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denselben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Schutz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wie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Mitglieder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anderer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Arbeitnehmervertretungen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und</w:t>
            </w:r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unterfallen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daher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 xml:space="preserve">dem Schutz des § 15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KSchG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</w:tc>
      </w:tr>
      <w:tr w:rsidR="006E37A6" w:rsidRPr="006E37A6" w:rsidTr="006E37A6">
        <w:trPr>
          <w:trHeight w:val="1294"/>
        </w:trPr>
        <w:tc>
          <w:tcPr>
            <w:tcW w:w="297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Bestimmte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Angestellte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6E37A6">
              <w:rPr>
                <w:rFonts w:asciiTheme="minorHAnsi" w:hAnsiTheme="minorHAnsi" w:cstheme="minorHAnsi"/>
                <w:color w:val="231F20"/>
              </w:rPr>
              <w:t>des</w:t>
            </w:r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Bundes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und der Länder</w:t>
            </w:r>
          </w:p>
        </w:tc>
        <w:tc>
          <w:tcPr>
            <w:tcW w:w="6237" w:type="dxa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</w:rPr>
            </w:pPr>
            <w:r w:rsidRPr="006E37A6">
              <w:rPr>
                <w:rFonts w:asciiTheme="minorHAnsi" w:hAnsiTheme="minorHAnsi" w:cstheme="minorHAnsi"/>
                <w:color w:val="231F20"/>
              </w:rPr>
              <w:t>Sind</w:t>
            </w:r>
            <w:r w:rsidRPr="006E37A6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Beschäftigte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etwa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aufgrund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eines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Tarifvertrags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nach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bestimmten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Beschäftigungsdauer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ordentlich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unkündbar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>,</w:t>
            </w:r>
            <w:r w:rsidRPr="006E37A6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können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sie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nur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außerordentlich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mit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sozialer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Auslauffrist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entlassen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werden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. Die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Auslauffrist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ist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dann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so lang,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wie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eine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</w:rPr>
              <w:t xml:space="preserve"> alternative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ordentliche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</w:rPr>
              <w:t>Kündigungsfrist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wäre</w:t>
            </w:r>
            <w:proofErr w:type="spellEnd"/>
            <w:r w:rsidRPr="006E37A6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</w:tc>
      </w:tr>
      <w:tr w:rsidR="006E37A6" w:rsidRPr="006E37A6" w:rsidTr="006E37A6">
        <w:trPr>
          <w:trHeight w:val="689"/>
        </w:trPr>
        <w:tc>
          <w:tcPr>
            <w:tcW w:w="9214" w:type="dxa"/>
            <w:gridSpan w:val="2"/>
            <w:shd w:val="clear" w:color="auto" w:fill="auto"/>
          </w:tcPr>
          <w:p w:rsidR="006E37A6" w:rsidRPr="006E37A6" w:rsidRDefault="006E37A6" w:rsidP="006E37A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i/>
              </w:rPr>
            </w:pP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Prüfen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r w:rsidRPr="006E37A6">
              <w:rPr>
                <w:rFonts w:asciiTheme="minorHAnsi" w:hAnsiTheme="minorHAnsi" w:cstheme="minorHAnsi"/>
                <w:i/>
                <w:color w:val="231F20"/>
              </w:rPr>
              <w:t>Sie</w:t>
            </w:r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bei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jeder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Kündigungsanhörung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>,</w:t>
            </w:r>
            <w:r w:rsidRPr="006E37A6">
              <w:rPr>
                <w:rFonts w:asciiTheme="minorHAnsi" w:hAnsiTheme="minorHAnsi" w:cstheme="minorHAnsi"/>
                <w:i/>
                <w:color w:val="231F20"/>
                <w:spacing w:val="-12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ob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r w:rsidRPr="006E37A6">
              <w:rPr>
                <w:rFonts w:asciiTheme="minorHAnsi" w:hAnsiTheme="minorHAnsi" w:cstheme="minorHAnsi"/>
                <w:i/>
                <w:color w:val="231F20"/>
              </w:rPr>
              <w:t>die</w:t>
            </w:r>
            <w:r w:rsidRPr="006E37A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Arbeitgeberin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bzw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>.</w:t>
            </w:r>
            <w:r w:rsidRPr="006E37A6">
              <w:rPr>
                <w:rFonts w:asciiTheme="minorHAnsi" w:hAnsiTheme="minorHAnsi" w:cstheme="minorHAnsi"/>
                <w:i/>
                <w:color w:val="231F20"/>
                <w:spacing w:val="-11"/>
              </w:rPr>
              <w:t xml:space="preserve"> </w:t>
            </w:r>
            <w:r w:rsidRPr="006E37A6">
              <w:rPr>
                <w:rFonts w:asciiTheme="minorHAnsi" w:hAnsiTheme="minorHAnsi" w:cstheme="minorHAnsi"/>
                <w:i/>
                <w:color w:val="231F20"/>
              </w:rPr>
              <w:t>der</w:t>
            </w:r>
            <w:r w:rsidRPr="006E37A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Arbeitgeber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r w:rsidRPr="006E37A6">
              <w:rPr>
                <w:rFonts w:asciiTheme="minorHAnsi" w:hAnsiTheme="minorHAnsi" w:cstheme="minorHAnsi"/>
                <w:i/>
                <w:color w:val="231F20"/>
              </w:rPr>
              <w:t>den</w:t>
            </w:r>
            <w:r w:rsidRPr="006E37A6">
              <w:rPr>
                <w:rFonts w:asciiTheme="minorHAnsi" w:hAnsiTheme="minorHAnsi" w:cstheme="minorHAnsi"/>
                <w:i/>
                <w:color w:val="231F20"/>
                <w:spacing w:val="-5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Sonderkündigungsschutz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berücksichtigt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 xml:space="preserve"> hat. Wenn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nicht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 xml:space="preserve">,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ist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 xml:space="preserve"> die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Kündigung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 xml:space="preserve"> </w:t>
            </w:r>
            <w:proofErr w:type="spellStart"/>
            <w:r w:rsidRPr="006E37A6">
              <w:rPr>
                <w:rFonts w:asciiTheme="minorHAnsi" w:hAnsiTheme="minorHAnsi" w:cstheme="minorHAnsi"/>
                <w:i/>
                <w:color w:val="231F20"/>
              </w:rPr>
              <w:t>unwirksam</w:t>
            </w:r>
            <w:proofErr w:type="spellEnd"/>
            <w:r w:rsidRPr="006E37A6">
              <w:rPr>
                <w:rFonts w:asciiTheme="minorHAnsi" w:hAnsiTheme="minorHAnsi" w:cstheme="minorHAnsi"/>
                <w:i/>
                <w:color w:val="231F20"/>
              </w:rPr>
              <w:t>.</w:t>
            </w:r>
          </w:p>
        </w:tc>
      </w:tr>
    </w:tbl>
    <w:p w:rsidR="00D87D5F" w:rsidRPr="006E37A6" w:rsidRDefault="00D87D5F" w:rsidP="006E37A6">
      <w:pPr>
        <w:rPr>
          <w:rFonts w:asciiTheme="minorHAnsi" w:hAnsiTheme="minorHAnsi" w:cstheme="minorHAnsi"/>
          <w:sz w:val="24"/>
          <w:szCs w:val="24"/>
        </w:rPr>
      </w:pPr>
    </w:p>
    <w:sectPr w:rsidR="00D87D5F" w:rsidRPr="006E37A6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2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4"/>
  </w:num>
  <w:num w:numId="2" w16cid:durableId="1387951052">
    <w:abstractNumId w:val="6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5"/>
  </w:num>
  <w:num w:numId="7" w16cid:durableId="927692108">
    <w:abstractNumId w:val="8"/>
  </w:num>
  <w:num w:numId="8" w16cid:durableId="1575629935">
    <w:abstractNumId w:val="10"/>
  </w:num>
  <w:num w:numId="9" w16cid:durableId="482239623">
    <w:abstractNumId w:val="12"/>
  </w:num>
  <w:num w:numId="10" w16cid:durableId="1248685542">
    <w:abstractNumId w:val="13"/>
  </w:num>
  <w:num w:numId="11" w16cid:durableId="24525292">
    <w:abstractNumId w:val="4"/>
  </w:num>
  <w:num w:numId="12" w16cid:durableId="1992638125">
    <w:abstractNumId w:val="17"/>
  </w:num>
  <w:num w:numId="13" w16cid:durableId="1850636646">
    <w:abstractNumId w:val="16"/>
  </w:num>
  <w:num w:numId="14" w16cid:durableId="1183318661">
    <w:abstractNumId w:val="5"/>
  </w:num>
  <w:num w:numId="15" w16cid:durableId="592008402">
    <w:abstractNumId w:val="9"/>
  </w:num>
  <w:num w:numId="16" w16cid:durableId="685138690">
    <w:abstractNumId w:val="11"/>
  </w:num>
  <w:num w:numId="17" w16cid:durableId="483816746">
    <w:abstractNumId w:val="1"/>
  </w:num>
  <w:num w:numId="18" w16cid:durableId="498277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909B6"/>
    <w:rsid w:val="005E645B"/>
    <w:rsid w:val="006E37A6"/>
    <w:rsid w:val="007C3C53"/>
    <w:rsid w:val="007D44F5"/>
    <w:rsid w:val="00817D2A"/>
    <w:rsid w:val="008372F3"/>
    <w:rsid w:val="008B2D8F"/>
    <w:rsid w:val="009B2B21"/>
    <w:rsid w:val="009C3F35"/>
    <w:rsid w:val="00A1178B"/>
    <w:rsid w:val="00AA299A"/>
    <w:rsid w:val="00BF0006"/>
    <w:rsid w:val="00C67DC5"/>
    <w:rsid w:val="00D87D5F"/>
    <w:rsid w:val="00DC404A"/>
    <w:rsid w:val="00DE6A7E"/>
    <w:rsid w:val="00E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27909-2899-4596-97FE-67ECBA957101}"/>
</file>

<file path=customXml/itemProps2.xml><?xml version="1.0" encoding="utf-8"?>
<ds:datastoreItem xmlns:ds="http://schemas.openxmlformats.org/officeDocument/2006/customXml" ds:itemID="{DCC7F48B-8B6E-49DF-94B0-72FF11A1BAC2}"/>
</file>

<file path=customXml/itemProps3.xml><?xml version="1.0" encoding="utf-8"?>
<ds:datastoreItem xmlns:ds="http://schemas.openxmlformats.org/officeDocument/2006/customXml" ds:itemID="{6BBFE55A-677D-4991-A0C6-D038DE434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2025-04-14T19:01:00Z</dcterms:created>
  <dcterms:modified xsi:type="dcterms:W3CDTF">2025-04-14T19:01:00Z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