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5D4B" w14:textId="77777777" w:rsidR="002A3E86" w:rsidRPr="002A3E86" w:rsidRDefault="002A3E86" w:rsidP="002A3E86">
      <w:pPr>
        <w:rPr>
          <w:b/>
          <w:bCs/>
        </w:rPr>
      </w:pPr>
      <w:r w:rsidRPr="002A3E86">
        <w:rPr>
          <w:b/>
          <w:bCs/>
        </w:rPr>
        <w:t>Prüfen Sie den Ablauf der Wahlversammlung</w:t>
      </w:r>
    </w:p>
    <w:p w14:paraId="01FCBD66" w14:textId="77777777" w:rsidR="002A3E86" w:rsidRPr="002A3E86" w:rsidRDefault="002A3E86" w:rsidP="002A3E86"/>
    <w:tbl>
      <w:tblPr>
        <w:tblStyle w:val="Tabellenraster"/>
        <w:tblW w:w="0" w:type="auto"/>
        <w:tblLook w:val="04A0" w:firstRow="1" w:lastRow="0" w:firstColumn="1" w:lastColumn="0" w:noHBand="0" w:noVBand="1"/>
      </w:tblPr>
      <w:tblGrid>
        <w:gridCol w:w="8000"/>
        <w:gridCol w:w="1062"/>
      </w:tblGrid>
      <w:tr w:rsidR="002A3E86" w:rsidRPr="002A3E86" w14:paraId="324BD527" w14:textId="77777777" w:rsidTr="00AF510F">
        <w:tc>
          <w:tcPr>
            <w:tcW w:w="8075" w:type="dxa"/>
          </w:tcPr>
          <w:p w14:paraId="57FA998A" w14:textId="77777777" w:rsidR="002A3E86" w:rsidRPr="002A3E86" w:rsidRDefault="002A3E86" w:rsidP="002A3E86">
            <w:pPr>
              <w:rPr>
                <w:b/>
                <w:bCs/>
              </w:rPr>
            </w:pPr>
            <w:r w:rsidRPr="002A3E86">
              <w:rPr>
                <w:b/>
                <w:bCs/>
              </w:rPr>
              <w:t>Schritt</w:t>
            </w:r>
          </w:p>
        </w:tc>
        <w:tc>
          <w:tcPr>
            <w:tcW w:w="941" w:type="dxa"/>
          </w:tcPr>
          <w:p w14:paraId="43E138C6" w14:textId="77777777" w:rsidR="002A3E86" w:rsidRPr="002A3E86" w:rsidRDefault="002A3E86" w:rsidP="002A3E86">
            <w:pPr>
              <w:rPr>
                <w:b/>
                <w:bCs/>
              </w:rPr>
            </w:pPr>
            <w:r w:rsidRPr="002A3E86">
              <w:rPr>
                <w:b/>
                <w:bCs/>
              </w:rPr>
              <w:t>Erledigt</w:t>
            </w:r>
          </w:p>
        </w:tc>
      </w:tr>
      <w:tr w:rsidR="002A3E86" w:rsidRPr="002A3E86" w14:paraId="21017122" w14:textId="77777777" w:rsidTr="00AF510F">
        <w:tc>
          <w:tcPr>
            <w:tcW w:w="8075" w:type="dxa"/>
          </w:tcPr>
          <w:p w14:paraId="223D0F1D" w14:textId="77777777" w:rsidR="002A3E86" w:rsidRPr="002A3E86" w:rsidRDefault="002A3E86" w:rsidP="002A3E86">
            <w:r w:rsidRPr="002A3E86">
              <w:t xml:space="preserve">In der Wahlversammlung wird eine Person als Wahlleitung gewählt. Diese Person muss nicht unbedingt selbst wahlberechtigt sein. Es kommen also auch Mitglieder des Betriebs- oder Personalrats dafür in Betracht. Die Wahlleitung kann durch Wahlhelfer unterstützt werden. </w:t>
            </w:r>
          </w:p>
        </w:tc>
        <w:tc>
          <w:tcPr>
            <w:tcW w:w="941" w:type="dxa"/>
          </w:tcPr>
          <w:p w14:paraId="1B798C20" w14:textId="77777777" w:rsidR="002A3E86" w:rsidRPr="002A3E86" w:rsidRDefault="002A3E86" w:rsidP="002A3E86"/>
        </w:tc>
      </w:tr>
      <w:tr w:rsidR="002A3E86" w:rsidRPr="002A3E86" w14:paraId="22726EB9" w14:textId="77777777" w:rsidTr="00AF510F">
        <w:tc>
          <w:tcPr>
            <w:tcW w:w="8075" w:type="dxa"/>
          </w:tcPr>
          <w:p w14:paraId="4F5DE018" w14:textId="77777777" w:rsidR="002A3E86" w:rsidRPr="002A3E86" w:rsidRDefault="002A3E86" w:rsidP="002A3E86">
            <w:r w:rsidRPr="002A3E86">
              <w:t xml:space="preserve">Die Wahlversammlung beschließt mit einfacher Stimmenmehrheit, wie viele stellvertretende Mitglieder zu wählen sind (nach § 20 Abs. 2 </w:t>
            </w:r>
            <w:proofErr w:type="spellStart"/>
            <w:r w:rsidRPr="002A3E86">
              <w:t>SchwbVWO</w:t>
            </w:r>
            <w:proofErr w:type="spellEnd"/>
            <w:r w:rsidRPr="002A3E86">
              <w:t xml:space="preserve">). </w:t>
            </w:r>
          </w:p>
        </w:tc>
        <w:tc>
          <w:tcPr>
            <w:tcW w:w="941" w:type="dxa"/>
          </w:tcPr>
          <w:p w14:paraId="5F6AE224" w14:textId="77777777" w:rsidR="002A3E86" w:rsidRPr="002A3E86" w:rsidRDefault="002A3E86" w:rsidP="002A3E86"/>
        </w:tc>
      </w:tr>
      <w:tr w:rsidR="002A3E86" w:rsidRPr="002A3E86" w14:paraId="6550BB31" w14:textId="77777777" w:rsidTr="00AF510F">
        <w:tc>
          <w:tcPr>
            <w:tcW w:w="8075" w:type="dxa"/>
          </w:tcPr>
          <w:p w14:paraId="1B0E7B69" w14:textId="77777777" w:rsidR="002A3E86" w:rsidRPr="002A3E86" w:rsidRDefault="002A3E86" w:rsidP="002A3E86">
            <w:r w:rsidRPr="002A3E86">
              <w:t xml:space="preserve">Schließlich werden Wahlvorschläge gemacht. Hierzu ist jedes wahlberechtigte Mitglied der Wahlversammlung berechtigt. Mündliche Vorschläge reichen im einfachen Wahlverfahren aus. </w:t>
            </w:r>
          </w:p>
        </w:tc>
        <w:tc>
          <w:tcPr>
            <w:tcW w:w="941" w:type="dxa"/>
          </w:tcPr>
          <w:p w14:paraId="15A13A92" w14:textId="77777777" w:rsidR="002A3E86" w:rsidRPr="002A3E86" w:rsidRDefault="002A3E86" w:rsidP="002A3E86"/>
        </w:tc>
      </w:tr>
      <w:tr w:rsidR="002A3E86" w:rsidRPr="002A3E86" w14:paraId="4FEA1424" w14:textId="77777777" w:rsidTr="00AF510F">
        <w:tc>
          <w:tcPr>
            <w:tcW w:w="8075" w:type="dxa"/>
          </w:tcPr>
          <w:p w14:paraId="652A43EE" w14:textId="77777777" w:rsidR="002A3E86" w:rsidRPr="002A3E86" w:rsidRDefault="002A3E86" w:rsidP="002A3E86">
            <w:r w:rsidRPr="002A3E86">
              <w:t xml:space="preserve">Nachdem geklärt ist, wer kandidiert, sind Stimmzettel mit den Namen der Kandidaten zu erstellen (§ 20 Abs. 3 </w:t>
            </w:r>
            <w:proofErr w:type="spellStart"/>
            <w:r w:rsidRPr="002A3E86">
              <w:t>SchwbVWO</w:t>
            </w:r>
            <w:proofErr w:type="spellEnd"/>
            <w:r w:rsidRPr="002A3E86">
              <w:t xml:space="preserve">). </w:t>
            </w:r>
          </w:p>
        </w:tc>
        <w:tc>
          <w:tcPr>
            <w:tcW w:w="941" w:type="dxa"/>
          </w:tcPr>
          <w:p w14:paraId="217CE857" w14:textId="77777777" w:rsidR="002A3E86" w:rsidRPr="002A3E86" w:rsidRDefault="002A3E86" w:rsidP="002A3E86"/>
        </w:tc>
      </w:tr>
      <w:tr w:rsidR="002A3E86" w:rsidRPr="002A3E86" w14:paraId="7CF1B5C3" w14:textId="77777777" w:rsidTr="00AF510F">
        <w:tc>
          <w:tcPr>
            <w:tcW w:w="8075" w:type="dxa"/>
          </w:tcPr>
          <w:p w14:paraId="62138E4E" w14:textId="77777777" w:rsidR="002A3E86" w:rsidRPr="002A3E86" w:rsidRDefault="002A3E86" w:rsidP="002A3E86">
            <w:r w:rsidRPr="002A3E86">
              <w:t xml:space="preserve">Stehen die Stimmzettel zur Verfügung stehen, findet die Stimmabgabe als Urnenwahl nach den Prinzipien der allgemeinen und geheimen Wahl statt. Eine Briefwahl findet nicht statt. </w:t>
            </w:r>
          </w:p>
        </w:tc>
        <w:tc>
          <w:tcPr>
            <w:tcW w:w="941" w:type="dxa"/>
          </w:tcPr>
          <w:p w14:paraId="23472F63" w14:textId="77777777" w:rsidR="002A3E86" w:rsidRPr="002A3E86" w:rsidRDefault="002A3E86" w:rsidP="002A3E86"/>
        </w:tc>
      </w:tr>
      <w:tr w:rsidR="002A3E86" w:rsidRPr="002A3E86" w14:paraId="21027658" w14:textId="77777777" w:rsidTr="00AF510F">
        <w:tc>
          <w:tcPr>
            <w:tcW w:w="8075" w:type="dxa"/>
          </w:tcPr>
          <w:p w14:paraId="5FD70102" w14:textId="77777777" w:rsidR="002A3E86" w:rsidRPr="002A3E86" w:rsidRDefault="002A3E86" w:rsidP="002A3E86">
            <w:r w:rsidRPr="002A3E86">
              <w:t>Ist der Wahlvorgang abgeschlossen, folgt die öffentliche Auszählung der Stimmen.</w:t>
            </w:r>
          </w:p>
        </w:tc>
        <w:tc>
          <w:tcPr>
            <w:tcW w:w="941" w:type="dxa"/>
          </w:tcPr>
          <w:p w14:paraId="564E9DA4" w14:textId="77777777" w:rsidR="002A3E86" w:rsidRPr="002A3E86" w:rsidRDefault="002A3E86" w:rsidP="002A3E86"/>
        </w:tc>
      </w:tr>
      <w:tr w:rsidR="002A3E86" w:rsidRPr="002A3E86" w14:paraId="02A1D37E" w14:textId="77777777" w:rsidTr="00AF510F">
        <w:tc>
          <w:tcPr>
            <w:tcW w:w="8075" w:type="dxa"/>
          </w:tcPr>
          <w:p w14:paraId="7682D8AB" w14:textId="77777777" w:rsidR="002A3E86" w:rsidRPr="002A3E86" w:rsidRDefault="002A3E86" w:rsidP="002A3E86">
            <w:r w:rsidRPr="002A3E86">
              <w:t>Anschließend gibt die Wahlleitung das Ergebnis bekannt.</w:t>
            </w:r>
          </w:p>
        </w:tc>
        <w:tc>
          <w:tcPr>
            <w:tcW w:w="941" w:type="dxa"/>
          </w:tcPr>
          <w:p w14:paraId="14BF1BFF" w14:textId="77777777" w:rsidR="002A3E86" w:rsidRPr="002A3E86" w:rsidRDefault="002A3E86" w:rsidP="002A3E86"/>
        </w:tc>
      </w:tr>
      <w:tr w:rsidR="002A3E86" w:rsidRPr="002A3E86" w14:paraId="33C9DF8B" w14:textId="77777777" w:rsidTr="00AF510F">
        <w:tc>
          <w:tcPr>
            <w:tcW w:w="8075" w:type="dxa"/>
          </w:tcPr>
          <w:p w14:paraId="153B31B0" w14:textId="73603155" w:rsidR="002A3E86" w:rsidRPr="002A3E86" w:rsidRDefault="002A3E86" w:rsidP="002A3E86">
            <w:r w:rsidRPr="002A3E86">
              <w:t>Haben die gewählten Stellvertreter die Wahl angenommen, geben Sie das Ergebnis durch zweiwöchigen Aushang bekannt und unterrichten den Arbeitgeber sowie den Betriebs- oder Personalrat.</w:t>
            </w:r>
          </w:p>
        </w:tc>
        <w:tc>
          <w:tcPr>
            <w:tcW w:w="941" w:type="dxa"/>
          </w:tcPr>
          <w:p w14:paraId="1AEDE729" w14:textId="77777777" w:rsidR="002A3E86" w:rsidRPr="002A3E86" w:rsidRDefault="002A3E86" w:rsidP="002A3E86"/>
        </w:tc>
      </w:tr>
    </w:tbl>
    <w:p w14:paraId="38B47799" w14:textId="77777777" w:rsidR="006B17A9" w:rsidRDefault="006B17A9"/>
    <w:p w14:paraId="185214EC" w14:textId="77777777" w:rsidR="002A3E86" w:rsidRDefault="002A3E86"/>
    <w:tbl>
      <w:tblPr>
        <w:tblStyle w:val="Tabellenraster"/>
        <w:tblW w:w="0" w:type="auto"/>
        <w:tblLook w:val="04A0" w:firstRow="1" w:lastRow="0" w:firstColumn="1" w:lastColumn="0" w:noHBand="0" w:noVBand="1"/>
      </w:tblPr>
      <w:tblGrid>
        <w:gridCol w:w="8000"/>
        <w:gridCol w:w="1062"/>
      </w:tblGrid>
      <w:tr w:rsidR="002A3E86" w:rsidRPr="002A3E86" w14:paraId="3DA8FBD1" w14:textId="77777777" w:rsidTr="00AF510F">
        <w:tc>
          <w:tcPr>
            <w:tcW w:w="8075" w:type="dxa"/>
          </w:tcPr>
          <w:p w14:paraId="76533C22" w14:textId="77777777" w:rsidR="002A3E86" w:rsidRPr="002A3E86" w:rsidRDefault="002A3E86" w:rsidP="002A3E86">
            <w:pPr>
              <w:rPr>
                <w:b/>
                <w:bCs/>
              </w:rPr>
            </w:pPr>
            <w:r w:rsidRPr="002A3E86">
              <w:rPr>
                <w:b/>
                <w:bCs/>
              </w:rPr>
              <w:t>Schritt</w:t>
            </w:r>
          </w:p>
        </w:tc>
        <w:tc>
          <w:tcPr>
            <w:tcW w:w="941" w:type="dxa"/>
          </w:tcPr>
          <w:p w14:paraId="7236DC29" w14:textId="77777777" w:rsidR="002A3E86" w:rsidRPr="002A3E86" w:rsidRDefault="002A3E86" w:rsidP="002A3E86">
            <w:pPr>
              <w:rPr>
                <w:b/>
                <w:bCs/>
              </w:rPr>
            </w:pPr>
            <w:r w:rsidRPr="002A3E86">
              <w:rPr>
                <w:b/>
                <w:bCs/>
              </w:rPr>
              <w:t>Erledigt</w:t>
            </w:r>
          </w:p>
        </w:tc>
      </w:tr>
      <w:tr w:rsidR="002A3E86" w:rsidRPr="002A3E86" w14:paraId="290E8965" w14:textId="77777777" w:rsidTr="00AF510F">
        <w:tc>
          <w:tcPr>
            <w:tcW w:w="8075" w:type="dxa"/>
          </w:tcPr>
          <w:p w14:paraId="16D1628F" w14:textId="77777777" w:rsidR="002A3E86" w:rsidRPr="002A3E86" w:rsidRDefault="002A3E86" w:rsidP="002A3E86">
            <w:r w:rsidRPr="002A3E86">
              <w:t>Zunächst ist die Wählerliste zu erstellen. Dabei gibt es keine Abweichungen gegenüber der sonstigen förmlichen Wahl. Sie können also die Wählerliste der letzten Wahl als Basis für die Aufstellung der aktuellen Wählerliste heranziehen.</w:t>
            </w:r>
          </w:p>
        </w:tc>
        <w:tc>
          <w:tcPr>
            <w:tcW w:w="941" w:type="dxa"/>
          </w:tcPr>
          <w:p w14:paraId="79BED56C" w14:textId="77777777" w:rsidR="002A3E86" w:rsidRPr="002A3E86" w:rsidRDefault="002A3E86" w:rsidP="002A3E86"/>
        </w:tc>
      </w:tr>
      <w:tr w:rsidR="002A3E86" w:rsidRPr="002A3E86" w14:paraId="08DE849F" w14:textId="77777777" w:rsidTr="00AF510F">
        <w:tc>
          <w:tcPr>
            <w:tcW w:w="8075" w:type="dxa"/>
          </w:tcPr>
          <w:p w14:paraId="2DB9B698" w14:textId="77777777" w:rsidR="002A3E86" w:rsidRPr="002A3E86" w:rsidRDefault="002A3E86" w:rsidP="002A3E86">
            <w:r w:rsidRPr="002A3E86">
              <w:t xml:space="preserve">Das Wahlausschreiben wird erstellt und ausgehängt. Neben der Anzahl der zu wählenden stellvertretenden Mitglieder wird im Wahlausschreiben festgelegt, dass Wahlvorschläge zu erstellen und bis zu welchem Zeitpunkt sie einzureichen sind. Die Wahlvorschläge benötigen jeweils Stützunterschriften und die schriftliche Zustimmung der Bewerber. Auch der Wahltag steht im Wahlausschreiben. </w:t>
            </w:r>
          </w:p>
        </w:tc>
        <w:tc>
          <w:tcPr>
            <w:tcW w:w="941" w:type="dxa"/>
          </w:tcPr>
          <w:p w14:paraId="489EA2F6" w14:textId="77777777" w:rsidR="002A3E86" w:rsidRPr="002A3E86" w:rsidRDefault="002A3E86" w:rsidP="002A3E86"/>
        </w:tc>
      </w:tr>
      <w:tr w:rsidR="002A3E86" w:rsidRPr="002A3E86" w14:paraId="6491D792" w14:textId="77777777" w:rsidTr="00AF510F">
        <w:tc>
          <w:tcPr>
            <w:tcW w:w="8075" w:type="dxa"/>
          </w:tcPr>
          <w:p w14:paraId="5B9285A7" w14:textId="77777777" w:rsidR="002A3E86" w:rsidRPr="002A3E86" w:rsidRDefault="002A3E86" w:rsidP="002A3E86">
            <w:r w:rsidRPr="002A3E86">
              <w:t>Nach Ablauf der Einreichungsfrist werden die Wahlvorschläge geprüft und bekannt gegeben.</w:t>
            </w:r>
          </w:p>
        </w:tc>
        <w:tc>
          <w:tcPr>
            <w:tcW w:w="941" w:type="dxa"/>
          </w:tcPr>
          <w:p w14:paraId="1F1E32DC" w14:textId="77777777" w:rsidR="002A3E86" w:rsidRPr="002A3E86" w:rsidRDefault="002A3E86" w:rsidP="002A3E86"/>
        </w:tc>
      </w:tr>
      <w:tr w:rsidR="002A3E86" w:rsidRPr="002A3E86" w14:paraId="46752C79" w14:textId="77777777" w:rsidTr="00AF510F">
        <w:tc>
          <w:tcPr>
            <w:tcW w:w="8075" w:type="dxa"/>
          </w:tcPr>
          <w:p w14:paraId="4A07D7FA" w14:textId="77777777" w:rsidR="002A3E86" w:rsidRPr="002A3E86" w:rsidRDefault="002A3E86" w:rsidP="002A3E86">
            <w:r w:rsidRPr="002A3E86">
              <w:t xml:space="preserve">Nach der Bekanntmachung der Wahlvorschläge leitet der Wahlvorstand auch die Briefwahl ein (§ 11 </w:t>
            </w:r>
            <w:proofErr w:type="spellStart"/>
            <w:r w:rsidRPr="002A3E86">
              <w:t>SchwbVWO</w:t>
            </w:r>
            <w:proofErr w:type="spellEnd"/>
            <w:r w:rsidRPr="002A3E86">
              <w:t xml:space="preserve">). </w:t>
            </w:r>
          </w:p>
        </w:tc>
        <w:tc>
          <w:tcPr>
            <w:tcW w:w="941" w:type="dxa"/>
          </w:tcPr>
          <w:p w14:paraId="29F566CA" w14:textId="77777777" w:rsidR="002A3E86" w:rsidRPr="002A3E86" w:rsidRDefault="002A3E86" w:rsidP="002A3E86"/>
        </w:tc>
      </w:tr>
      <w:tr w:rsidR="002A3E86" w:rsidRPr="002A3E86" w14:paraId="12CB83B0" w14:textId="77777777" w:rsidTr="00AF510F">
        <w:tc>
          <w:tcPr>
            <w:tcW w:w="8075" w:type="dxa"/>
          </w:tcPr>
          <w:p w14:paraId="1837F6AD" w14:textId="77777777" w:rsidR="002A3E86" w:rsidRPr="002A3E86" w:rsidRDefault="002A3E86" w:rsidP="002A3E86">
            <w:r w:rsidRPr="002A3E86">
              <w:t>Am Wahltag selbst findet die Nachwahl in Form der Urnenwahl als allgemeine und geheime Wahl statt.</w:t>
            </w:r>
          </w:p>
        </w:tc>
        <w:tc>
          <w:tcPr>
            <w:tcW w:w="941" w:type="dxa"/>
          </w:tcPr>
          <w:p w14:paraId="35FF00B9" w14:textId="77777777" w:rsidR="002A3E86" w:rsidRPr="002A3E86" w:rsidRDefault="002A3E86" w:rsidP="002A3E86"/>
        </w:tc>
      </w:tr>
      <w:tr w:rsidR="002A3E86" w:rsidRPr="002A3E86" w14:paraId="5DD04144" w14:textId="77777777" w:rsidTr="00AF510F">
        <w:tc>
          <w:tcPr>
            <w:tcW w:w="8075" w:type="dxa"/>
          </w:tcPr>
          <w:p w14:paraId="2487BF8C" w14:textId="77777777" w:rsidR="002A3E86" w:rsidRPr="002A3E86" w:rsidRDefault="002A3E86" w:rsidP="002A3E86">
            <w:r w:rsidRPr="002A3E86">
              <w:t xml:space="preserve">Nach Abschluss des Wahlvorgangs werden die Stimmen öffentlich ausgezählt und das Wahlergebnis wird bekannt gegeben (§ 15 </w:t>
            </w:r>
            <w:proofErr w:type="spellStart"/>
            <w:r w:rsidRPr="002A3E86">
              <w:t>SchwbVWO</w:t>
            </w:r>
            <w:proofErr w:type="spellEnd"/>
            <w:r w:rsidRPr="002A3E86">
              <w:t>).</w:t>
            </w:r>
          </w:p>
        </w:tc>
        <w:tc>
          <w:tcPr>
            <w:tcW w:w="941" w:type="dxa"/>
          </w:tcPr>
          <w:p w14:paraId="06CC11B7" w14:textId="77777777" w:rsidR="002A3E86" w:rsidRPr="002A3E86" w:rsidRDefault="002A3E86" w:rsidP="002A3E86"/>
        </w:tc>
      </w:tr>
    </w:tbl>
    <w:p w14:paraId="3C85DBEF" w14:textId="77777777" w:rsidR="002A3E86" w:rsidRDefault="002A3E86"/>
    <w:sectPr w:rsidR="002A3E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86"/>
    <w:rsid w:val="00075F9A"/>
    <w:rsid w:val="002A3E86"/>
    <w:rsid w:val="002F61FD"/>
    <w:rsid w:val="006B17A9"/>
    <w:rsid w:val="007C223D"/>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EBE1F01"/>
  <w15:chartTrackingRefBased/>
  <w15:docId w15:val="{8D27F365-CFB0-2346-A180-F2979EF5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A3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A3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3E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A3E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A3E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A3E8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3E8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3E8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3E8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3E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A3E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3E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A3E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A3E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A3E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3E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3E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3E86"/>
    <w:rPr>
      <w:rFonts w:eastAsiaTheme="majorEastAsia" w:cstheme="majorBidi"/>
      <w:color w:val="272727" w:themeColor="text1" w:themeTint="D8"/>
    </w:rPr>
  </w:style>
  <w:style w:type="paragraph" w:styleId="Titel">
    <w:name w:val="Title"/>
    <w:basedOn w:val="Standard"/>
    <w:next w:val="Standard"/>
    <w:link w:val="TitelZchn"/>
    <w:uiPriority w:val="10"/>
    <w:qFormat/>
    <w:rsid w:val="002A3E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3E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3E8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3E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3E8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A3E86"/>
    <w:rPr>
      <w:i/>
      <w:iCs/>
      <w:color w:val="404040" w:themeColor="text1" w:themeTint="BF"/>
    </w:rPr>
  </w:style>
  <w:style w:type="paragraph" w:styleId="Listenabsatz">
    <w:name w:val="List Paragraph"/>
    <w:basedOn w:val="Standard"/>
    <w:uiPriority w:val="34"/>
    <w:qFormat/>
    <w:rsid w:val="002A3E86"/>
    <w:pPr>
      <w:ind w:left="720"/>
      <w:contextualSpacing/>
    </w:pPr>
  </w:style>
  <w:style w:type="character" w:styleId="IntensiveHervorhebung">
    <w:name w:val="Intense Emphasis"/>
    <w:basedOn w:val="Absatz-Standardschriftart"/>
    <w:uiPriority w:val="21"/>
    <w:qFormat/>
    <w:rsid w:val="002A3E86"/>
    <w:rPr>
      <w:i/>
      <w:iCs/>
      <w:color w:val="0F4761" w:themeColor="accent1" w:themeShade="BF"/>
    </w:rPr>
  </w:style>
  <w:style w:type="paragraph" w:styleId="IntensivesZitat">
    <w:name w:val="Intense Quote"/>
    <w:basedOn w:val="Standard"/>
    <w:next w:val="Standard"/>
    <w:link w:val="IntensivesZitatZchn"/>
    <w:uiPriority w:val="30"/>
    <w:qFormat/>
    <w:rsid w:val="002A3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A3E86"/>
    <w:rPr>
      <w:i/>
      <w:iCs/>
      <w:color w:val="0F4761" w:themeColor="accent1" w:themeShade="BF"/>
    </w:rPr>
  </w:style>
  <w:style w:type="character" w:styleId="IntensiverVerweis">
    <w:name w:val="Intense Reference"/>
    <w:basedOn w:val="Absatz-Standardschriftart"/>
    <w:uiPriority w:val="32"/>
    <w:qFormat/>
    <w:rsid w:val="002A3E86"/>
    <w:rPr>
      <w:b/>
      <w:bCs/>
      <w:smallCaps/>
      <w:color w:val="0F4761" w:themeColor="accent1" w:themeShade="BF"/>
      <w:spacing w:val="5"/>
    </w:rPr>
  </w:style>
  <w:style w:type="table" w:styleId="Tabellenraster">
    <w:name w:val="Table Grid"/>
    <w:basedOn w:val="NormaleTabelle"/>
    <w:uiPriority w:val="39"/>
    <w:rsid w:val="002A3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A3E86"/>
    <w:rPr>
      <w:sz w:val="16"/>
      <w:szCs w:val="16"/>
    </w:rPr>
  </w:style>
  <w:style w:type="paragraph" w:styleId="Kommentartext">
    <w:name w:val="annotation text"/>
    <w:basedOn w:val="Standard"/>
    <w:link w:val="KommentartextZchn"/>
    <w:uiPriority w:val="99"/>
    <w:unhideWhenUsed/>
    <w:rsid w:val="002A3E86"/>
    <w:pPr>
      <w:jc w:val="both"/>
    </w:pPr>
    <w:rPr>
      <w:rFonts w:ascii="Times New Roman" w:eastAsia="Times New Roman" w:hAnsi="Times New Roman" w:cs="Times New Roman"/>
      <w:kern w:val="0"/>
      <w:sz w:val="20"/>
      <w:szCs w:val="20"/>
      <w:lang w:eastAsia="de-DE"/>
      <w14:ligatures w14:val="none"/>
    </w:rPr>
  </w:style>
  <w:style w:type="character" w:customStyle="1" w:styleId="KommentartextZchn">
    <w:name w:val="Kommentartext Zchn"/>
    <w:basedOn w:val="Absatz-Standardschriftart"/>
    <w:link w:val="Kommentartext"/>
    <w:uiPriority w:val="99"/>
    <w:rsid w:val="002A3E86"/>
    <w:rPr>
      <w:rFonts w:ascii="Times New Roman" w:eastAsia="Times New Roman" w:hAnsi="Times New Roman"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2047</Characters>
  <Application>Microsoft Office Word</Application>
  <DocSecurity>0</DocSecurity>
  <Lines>17</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deinzer.grafik</dc:creator>
  <cp:keywords/>
  <dc:description/>
  <cp:lastModifiedBy>deinzer.grafik</cp:lastModifiedBy>
  <cp:revision>1</cp:revision>
  <dcterms:created xsi:type="dcterms:W3CDTF">2025-07-15T08:14:00Z</dcterms:created>
  <dcterms:modified xsi:type="dcterms:W3CDTF">2025-07-15T08:17:00Z</dcterms:modified>
</cp:coreProperties>
</file>