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1EC" w:rsidRPr="006C61EC" w:rsidRDefault="006C61EC" w:rsidP="006C61EC">
      <w:pPr>
        <w:pStyle w:val="p1"/>
        <w:rPr>
          <w:rFonts w:asciiTheme="minorHAnsi" w:hAnsiTheme="minorHAnsi" w:cstheme="minorHAnsi"/>
          <w:sz w:val="28"/>
          <w:szCs w:val="28"/>
        </w:rPr>
      </w:pPr>
      <w:r w:rsidRPr="006C61EC">
        <w:rPr>
          <w:rFonts w:asciiTheme="minorHAnsi" w:hAnsiTheme="minorHAnsi" w:cstheme="minorHAnsi"/>
          <w:b/>
          <w:bCs/>
          <w:sz w:val="28"/>
          <w:szCs w:val="28"/>
        </w:rPr>
        <w:t>Dienstvereinbarung</w:t>
      </w:r>
      <w:r w:rsidRPr="006C61EC">
        <w:rPr>
          <w:rFonts w:asciiTheme="minorHAnsi" w:hAnsiTheme="minorHAnsi" w:cstheme="minorHAnsi"/>
          <w:b/>
          <w:bCs/>
          <w:sz w:val="28"/>
          <w:szCs w:val="28"/>
        </w:rPr>
        <w:t xml:space="preserve"> f</w:t>
      </w:r>
      <w:r w:rsidRPr="006C61EC">
        <w:rPr>
          <w:rFonts w:asciiTheme="minorHAnsi" w:hAnsiTheme="minorHAnsi" w:cstheme="minorHAnsi"/>
          <w:b/>
          <w:bCs/>
          <w:sz w:val="28"/>
          <w:szCs w:val="28"/>
        </w:rPr>
        <w:t xml:space="preserve">ür die Regelung hybrider Telearbeit </w:t>
      </w:r>
    </w:p>
    <w:p w:rsidR="00302C1D" w:rsidRPr="006C61EC" w:rsidRDefault="00302C1D" w:rsidP="006C61EC">
      <w:pPr>
        <w:rPr>
          <w:rFonts w:cstheme="minorHAnsi"/>
          <w:sz w:val="22"/>
          <w:szCs w:val="22"/>
        </w:rPr>
      </w:pPr>
    </w:p>
    <w:p w:rsidR="006C61EC" w:rsidRDefault="006C61EC" w:rsidP="006C61EC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6C61EC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Einführung der alternierenden Telearbeit</w:t>
      </w:r>
    </w:p>
    <w:p w:rsidR="006C61EC" w:rsidRPr="006C61EC" w:rsidRDefault="006C61EC" w:rsidP="006C61EC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6C61EC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Dienstvereinbarung</w:t>
      </w:r>
      <w:r w:rsidRPr="006C61EC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br/>
        <w:t>zwischen Personalrat / Mitarbeitervertretung und der Dienststellenleitung</w:t>
      </w:r>
      <w:r w:rsidRPr="006C61EC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br/>
        <w:t>zur</w:t>
      </w:r>
      <w:r w:rsidRPr="006C61EC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br/>
        <w:t>Einrichtung von alternierenden Telearbeitsplätzen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1 Zielsetzung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Zwischen den Parteien besteht Einigkeit darüber,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unter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Einmoderner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Informations- und Kommunikationstechnologien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innovative Formen der Arbeitsorganisation eingeführt werden,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ohne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die gesamte Arbeitsleistung in der Dienststelle geleistet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 xml:space="preserve">werden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>. Hierzu sollen bis zum … mindestens … Telearbeitsplätze in Form der alternierenden Telearbeit eingeführt werden.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Ziele der alternierenden Telearbeit sind in erster Linie,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 Vereinbarkeit der beruflichen Arbeit mit den persönlichen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Lebensverhältnissen der Mitarbeitenden zu verbessern,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durch eine Steigerung der Selbstverantwortung der Mitarbeitenden bei der Gestaltung und Durchführung der Arbeit ein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6C61EC">
        <w:rPr>
          <w:rFonts w:asciiTheme="minorHAnsi" w:hAnsiTheme="minorHAnsi" w:cstheme="minorHAnsi"/>
          <w:sz w:val="22"/>
          <w:szCs w:val="22"/>
        </w:rPr>
        <w:t>höhere Arbeits- und Ergebniszufriedenheit zu erreichen,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 Arbeitsqualität und -produktivität zu optimieren,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 wirtschaftliche Situation der Dienststelle und gegebenenfalls deren Betriebe zu verbessern und dadurch Arbeitsplätze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zu sichern,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eine Verbesserung des Kundenservices zu erlangen und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 Effektivität der Dienststelle zu steigern.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Die Parteien sind sich einig darüber,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durch die Einrichtung von alternierenden Telearbeitsplätzen den Mitarbeitenden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betrieblich objektiv keine Nachteile entstehen.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2 Geltungsbereich, Begriffsdefinitionen und Grundsätze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Diese Dienstvereinbarung gilt für alle (in Vollzeit und Teilzeit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unbefristet beschäftigten)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Mitarbeitenden.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Der arbeits- und sozialversicherungsrechtliche Status der Mitarbeitenden bleibt auch nach Einrichtung eines Telearbeitsplatzes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unverändert.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Telearbeit soll in Form der alternierenden Telearbeit geleistet werden. Dabei wird die zu erbringende Arbeitsleistung zeitlich zwischen dem betrieblichen und dem häuslichen Arbeitsplatz aufgeteilt. 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Hierzu wird, unterstützt durch moderne Informations-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Kommunikationstechnik, ein häuslicher Arbeitsplatz bei der Mitarbeiterin/beim Mitarbeiter eingerichtet.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Dienststelle wird mit den Mitarbeitenden Telearbeit ausschließlich in Form der alternierenden Telearbeit vereinbaren.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Eine ausschließliche Tätigkeit am häuslichen Arbeitsplatz ist aus-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geschlossen.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Ein Rechtsanspruch der Mitarbeitenden auf Einrichtung eines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Telearbeitsplatzes besteht nicht. Sowohl die Mitarbeitenden als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auch die Dienststelle können die Einrichtung sowie die Beschäftigung auf einem alternierenden Telearbeitsplatz ohne Angabe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eines Grundes ablehnen. Der Mitarbeiterin oder dem Mitarbeiter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dürfen aus einer Ablehnung keine Nachteile erwachsen.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lastRenderedPageBreak/>
        <w:t>Anträge auf Einrichtung eines alternierenden Telearbeitsplatzes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sind über die Dienststellenleitung zu stellen. Der Antrag enthält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einen Fragebogen zur alternierenden Telearbeit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Dienststellenleitung prüft den Antrag unverzüglich nach Einreichung und leitet eine Kopie an den Personalrat/die Mitarbeitervertretung weiter. Die Bearbeitung und Entscheidung über die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Einrichtung des alternierenden Telearbeitsplatzes erfolgt innerhalb von … Wochen nach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Antragseingang.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Fahrtkosten zwischen dienstlicher und häuslicher Arbeitsstätte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werden nicht erstattet.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Anwesenheit am dienstlichen Arbeitsplatz soll sich grundsätzlich mit der Arbeit am häuslichen Arbeitsplatz abwechseln.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Es soll mindestens ein Arbeitstag pro Woche am betrieblichen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Arbeitsplatz gearbeitet werden.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3 Freiwilligkeitsprinzip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Einrichtung und die Beschäftigung auf einem alternierenden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Telearbeitsplatz erfolgen nach dem Prinzip der beiderseitigen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Freiwilligkeit.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Grundsätzlich sind solche Arbeiten für die alternierende Telearbeit geeignet, die eigenständig und eigenverantwortlich durchführbar sind sowie wirtschaftlich und betrieblich sinnvoll in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häuslichen Bereich der Mitarbeitenden verlagert werden können.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4 Persönliche Voraussetzungen für die Einrichtung eines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b/>
          <w:bCs/>
          <w:sz w:val="22"/>
          <w:szCs w:val="22"/>
        </w:rPr>
        <w:t>häuslichen Arbeitsplatzes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Mitarbeitende, die einen alternierenden Telearbeitsplatz einrichten lassen wollen, müssen folgende persönliche Voraussetzungen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mitbringen: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Die/der Beschäftigte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selbstständiges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Arbeiten gewohnt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sein und die nötige Selbstdisziplin aufbringen, um mit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 xml:space="preserve">neuen Arbeitsform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verantwortungsbewusst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umzugehen.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Die/der Beschäftigte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die Möglichkeit haben, einen häuslichen Arbeitsplatz einzurichten, von dem aus sie/er ungestört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ihre/seine Arbeitsleistung erbringen kann.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Die/der Beschäftigte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bereit sein, ihren/seinen betrieblichen Arbeitsplatz mit einer/einem anderen, ebenfalls in alternierender Telearbeit Beschäftigten im Wege des Desk Sharing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(Arbeitsplatz-Teilung) zu teilen. In besonderen Fällen kann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hiervon eine Ausnahme gemacht werden.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Alternierende Telearbeit kann auch in Kombination mit einem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Teilzeitarbeitsplatz ausgeübt werden, sofern die/der Beschäftigte die entsprechenden persönlichen Voraussetzungen erfüllt.</w:t>
      </w:r>
    </w:p>
    <w:p w:rsidR="006C61EC" w:rsidRPr="006C61EC" w:rsidRDefault="006C61EC" w:rsidP="006C61EC">
      <w:pPr>
        <w:pStyle w:val="p1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C61EC">
        <w:rPr>
          <w:rStyle w:val="s1"/>
          <w:rFonts w:ascii="Arial" w:eastAsiaTheme="majorEastAsia" w:hAnsi="Arial" w:cs="Arial"/>
          <w:sz w:val="22"/>
          <w:szCs w:val="22"/>
        </w:rPr>
        <w:t>■</w:t>
      </w:r>
      <w:r w:rsidRPr="006C61EC">
        <w:rPr>
          <w:rFonts w:asciiTheme="minorHAnsi" w:hAnsiTheme="minorHAnsi" w:cstheme="minorHAnsi"/>
          <w:sz w:val="22"/>
          <w:szCs w:val="22"/>
        </w:rPr>
        <w:t xml:space="preserve"> Die Aufgabe und der Arbeitsplatz der/des Beschäftigten müssen aus betrieblicher Sicht für die alternierende Telearbeit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geeignet sein.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Bei der Auswahl der für die alternierende Telearbeit vorgesehenen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Mitarbeitenden soll auch auf soziale Gesichtspunkte wie beispielsweise Behinderungen, Betreuungs- und Unterstützungsaufgaben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für Familienangehörige oder die Entfernung zwischen Wohnort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und Betrieb angemessen Rücksicht genommen werden.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5 Sachliche Voraussetzungen für die Errichtung eines häuslichen Arbeitsplatzes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Der Telearbeitsplatz soll wie ein Arbeitsplatz in der Dienststelle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den gesicherten arbeitswissenschaftlichen Erkenntnissen in Ergonomie und Arbeitssicherheit entsprechen. Hierzu gehören etwa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für den Arbeitsraum Tageslicht am Arbeitsplatz, Beleuchtung,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ergonomischer Schreibtisch und Schreibtischstuhl.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lastRenderedPageBreak/>
        <w:t xml:space="preserve">Der einzurichtende häusliche Telearbeitsplatz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in der Wohnung der/des Beschäftigten in einem Raum gelegen sein, der für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den dauernden Aufenthalt zugelassen und vorgesehen sowie für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Aufgabenerledigung unter Berücksichtigung der allgemeinen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Arbeitsplatzanforderungen geeignet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ist, also beispielsweise nicht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in der Garage oder im Keller.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Die/der Beschäftigte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muss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die Geeignetheit ihres/seines häuslichen Arbeitsplatzes glaubhaft machen. Hierzu reicht es aus, wenn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sie/er die objektiven Gegebenheiten, das heißt Lage, Größe und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gegebenenfalls Einrichtung, anhand einer Skizze oder des Grundrisses ihrer/seiner Wohnung darlegt.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Dienststellenleitung prüft unter Berücksichtigung der allgemeinen Lebenserfahrung und des dargestellten Sachverhalts, ob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 Einrichtung eines häuslichen Arbeitsplatzes möglich ist.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Die/der Beschäftigte ist verpflichtet, jede Veränderung ihres/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seines Arbeitsplatzes oder einen Wechsel ihres/seines Wohnorts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unverzüglich mitzuteilen. In diesem Fall prüft die Firma, ob auch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nach dem Wohnortwechsel eine erneute Einrichtung des Telearbeitsplatzes möglich ist.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6 Arbeits- und Kommunikationsmittel</w:t>
      </w:r>
    </w:p>
    <w:p w:rsidR="006C61EC" w:rsidRPr="006C61EC" w:rsidRDefault="006C61EC" w:rsidP="006C61EC">
      <w:pPr>
        <w:pStyle w:val="p1"/>
        <w:numPr>
          <w:ilvl w:val="0"/>
          <w:numId w:val="14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technische Standardausrüstung des Telearbeitsplatzes, also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 xml:space="preserve">Monitor, PC, Telefon,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Internetanschluss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und Drucker, stellt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Dienststelle kostenlos zur Verfügung.</w:t>
      </w:r>
    </w:p>
    <w:p w:rsidR="006C61EC" w:rsidRPr="006C61EC" w:rsidRDefault="006C61EC" w:rsidP="006C61EC">
      <w:pPr>
        <w:pStyle w:val="p1"/>
        <w:numPr>
          <w:ilvl w:val="0"/>
          <w:numId w:val="14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Errichtung des Telearbeitsplatzes und die Wartung der zur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Verfügung gestellten Hard- und Software sowie Netzwerke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erfolgen im Auftrag und auf Kosten der Dienststelle.</w:t>
      </w:r>
    </w:p>
    <w:p w:rsidR="006C61EC" w:rsidRPr="006C61EC" w:rsidRDefault="006C61EC" w:rsidP="006C61EC">
      <w:pPr>
        <w:pStyle w:val="p1"/>
        <w:numPr>
          <w:ilvl w:val="0"/>
          <w:numId w:val="14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Eine private Nutzung der gestellten technischen Ausrüstung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und Software ist untersagt. Die Nutzung der Kommunik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C61EC">
        <w:rPr>
          <w:rFonts w:asciiTheme="minorHAnsi" w:hAnsiTheme="minorHAnsi" w:cstheme="minorHAnsi"/>
          <w:sz w:val="22"/>
          <w:szCs w:val="22"/>
        </w:rPr>
        <w:t>tionsmittel kann durch die Dienststellenleitung durch geeignete</w:t>
      </w:r>
    </w:p>
    <w:p w:rsidR="006C61EC" w:rsidRPr="006C61EC" w:rsidRDefault="006C61EC" w:rsidP="006C61EC">
      <w:pPr>
        <w:pStyle w:val="p1"/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technische Maßnahmen eingeschränkt und anhand der monatlichen Nutzungsentgelte überprüft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werden.</w:t>
      </w:r>
    </w:p>
    <w:p w:rsidR="006C61EC" w:rsidRPr="006C61EC" w:rsidRDefault="006C61EC" w:rsidP="006C61EC">
      <w:pPr>
        <w:pStyle w:val="p1"/>
        <w:numPr>
          <w:ilvl w:val="0"/>
          <w:numId w:val="14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Mobiliar kann auf Wunsch der/des Beschäftigten von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Dienststelle gestellt werden. Der Einsatz privater Büromöbel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erfolgt auf Kosten und Risiko der Mitarbeiterin/des Mitarbeiters.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7 Arbeitszeit und Zeiterfassung</w:t>
      </w:r>
    </w:p>
    <w:p w:rsidR="006C61EC" w:rsidRPr="006C61EC" w:rsidRDefault="006C61EC" w:rsidP="006C61EC">
      <w:pPr>
        <w:pStyle w:val="p1"/>
        <w:numPr>
          <w:ilvl w:val="0"/>
          <w:numId w:val="15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Für die Dauer der Arbeitszeit auch am häuslichen Arbeitsplatz sind die tariflichen und gesetzlichen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Bestimmungen 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Arbeitsschutzes, zum Beispiel das Arbeitszeitgesetz, einzuhalten.</w:t>
      </w:r>
    </w:p>
    <w:p w:rsidR="006C61EC" w:rsidRPr="006C61EC" w:rsidRDefault="006C61EC" w:rsidP="006C61EC">
      <w:pPr>
        <w:pStyle w:val="p1"/>
        <w:numPr>
          <w:ilvl w:val="0"/>
          <w:numId w:val="15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Bestimmungen der bestehenden Dienstvereinbarung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über die Arbeitszeiten bzw. über die individuelle regelmäßige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Wochenarbeitszeit sind einzuhalten.</w:t>
      </w:r>
    </w:p>
    <w:p w:rsidR="006C61EC" w:rsidRPr="006C61EC" w:rsidRDefault="006C61EC" w:rsidP="006C61EC">
      <w:pPr>
        <w:pStyle w:val="p1"/>
        <w:numPr>
          <w:ilvl w:val="0"/>
          <w:numId w:val="15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Verteilung der Arbeitszeit auf den Telearbeitsplatz und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dienstlichen Arbeitsplatz erfolgt in Abstimmung zwischen der/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dem Vorgesetzten und der/dem Beschäftigten unter Berücksichtigung der dienstlichen Erfordernisse und persönlichen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Interessen der/des Beschäftigten.</w:t>
      </w:r>
    </w:p>
    <w:p w:rsidR="006C61EC" w:rsidRPr="006C61EC" w:rsidRDefault="006C61EC" w:rsidP="006C61EC">
      <w:pPr>
        <w:pStyle w:val="p1"/>
        <w:numPr>
          <w:ilvl w:val="0"/>
          <w:numId w:val="15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Die/der Beschäftigte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erfasst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die Arbeitszeit am häuslichen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Arbeitsplatz manuell.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8 Technische Störungen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 xml:space="preserve">Technische Störungen gehen nicht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zulasten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der/des Beschäftigten,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sofern sie/er dadurch an der Ausübung ihrer/seiner Tätigkeit am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häuslichen Arbeitsplatz gehindert ist. Bei technischen Störungen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hat sich die/der Beschäftigte mit der Dienststellenleitung oder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etwa seinem Vorgesetzten in Verbindung zu setzen, um kurzfristig Hilfsmaßnahmen einleiten zu können.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9 Datenschutz und Informationssicherheit</w:t>
      </w:r>
    </w:p>
    <w:p w:rsidR="006C61EC" w:rsidRDefault="006C61EC" w:rsidP="006C61EC">
      <w:pPr>
        <w:pStyle w:val="p1"/>
        <w:numPr>
          <w:ilvl w:val="0"/>
          <w:numId w:val="17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Auch am alternierenden Arbeitsplatz sind alle Vorschriften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zum Datenschutz einzuhalten. Die/der Beschäftigte wird hierüber vor Beginn der Aufnahme der alternierenden Telearbeit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ausführlich informiert. Bei dieser Gelegenheit wird der/dem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Beschäftigten ein Merkblatt zum Datenschutz und zur Informationssicherheit ausgehändigt.</w:t>
      </w:r>
    </w:p>
    <w:p w:rsidR="006C61EC" w:rsidRPr="006C61EC" w:rsidRDefault="006C61EC" w:rsidP="006C61EC">
      <w:pPr>
        <w:pStyle w:val="p1"/>
        <w:numPr>
          <w:ilvl w:val="0"/>
          <w:numId w:val="17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Sämtliche im Rahmen der alternierenden Tätigkeit anfallenden Unterlagen und Schriftstücke sind – sofern sie nicht mehr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gebraucht werden – ausschließlich in der Dienststelle zu vernichten.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10 Haftung und gesetzliche Unfallversicherung</w:t>
      </w:r>
    </w:p>
    <w:p w:rsidR="006C61EC" w:rsidRPr="006C61EC" w:rsidRDefault="006C61EC" w:rsidP="006C61EC">
      <w:pPr>
        <w:pStyle w:val="p1"/>
        <w:numPr>
          <w:ilvl w:val="0"/>
          <w:numId w:val="19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Haftung der/des Beschäftigten für Beschädigungen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Abhandenkommen der zur Verfügung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gestellten Arbeits-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Kommunikationsmittel ist auf Vorsatz und grobe Fahrlässigkeit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beschränkt.</w:t>
      </w:r>
    </w:p>
    <w:p w:rsidR="006C61EC" w:rsidRPr="006C61EC" w:rsidRDefault="006C61EC" w:rsidP="006C61EC">
      <w:pPr>
        <w:pStyle w:val="p1"/>
        <w:numPr>
          <w:ilvl w:val="0"/>
          <w:numId w:val="19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Die/der Beschäftigte haftet im gleichen Ausmaß für Personen,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 mit ihr/ihm in häuslicher Gemeinschaft leben.</w:t>
      </w:r>
    </w:p>
    <w:p w:rsidR="006C61EC" w:rsidRPr="006C61EC" w:rsidRDefault="006C61EC" w:rsidP="006C61EC">
      <w:pPr>
        <w:pStyle w:val="p1"/>
        <w:numPr>
          <w:ilvl w:val="0"/>
          <w:numId w:val="19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Der gesetzliche Unfallversicherungsschutz bestimmt sich nach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den jeweils geltenden gesetzlichen Regelungen. Damit ergeben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sich in Bezug auf die gesetzliche Unfallversicherung für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Bereich der häuslichen Arbeitsstätte keine Änderungen.</w:t>
      </w:r>
    </w:p>
    <w:p w:rsidR="006C61EC" w:rsidRPr="006C61EC" w:rsidRDefault="006C61EC" w:rsidP="006C61EC">
      <w:pPr>
        <w:pStyle w:val="p1"/>
        <w:numPr>
          <w:ilvl w:val="0"/>
          <w:numId w:val="19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 Feststellung, ob im Einzelfall die Voraussetzungen für einen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Arbeits- oder Wegeunfall vorliegen, obliegt der zuständigen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Berufsgenossenschaft bzw. Unfallkasse.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11 Zugangsrecht zum häuslichen Arbeitsplatz</w:t>
      </w:r>
    </w:p>
    <w:p w:rsidR="006C61EC" w:rsidRPr="006C61EC" w:rsidRDefault="006C61EC" w:rsidP="006C61EC">
      <w:pPr>
        <w:pStyle w:val="p1"/>
        <w:numPr>
          <w:ilvl w:val="0"/>
          <w:numId w:val="21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Der Zugang zum Telearbeitsplatz durch eine Vertretung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Dienststellenleitung oder der Beschäftigtenvertretung erfolgt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nach rechtzeitiger Anmeldung und mit Zustimmung der/des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Beschäftigten.</w:t>
      </w:r>
    </w:p>
    <w:p w:rsidR="006C61EC" w:rsidRPr="006C61EC" w:rsidRDefault="006C61EC" w:rsidP="006C61EC">
      <w:pPr>
        <w:pStyle w:val="p1"/>
        <w:numPr>
          <w:ilvl w:val="0"/>
          <w:numId w:val="21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Die/der Beschäftigte sichert durch ihre/seine Unterschrift zu,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C61EC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6C61EC">
        <w:rPr>
          <w:rFonts w:asciiTheme="minorHAnsi" w:hAnsiTheme="minorHAnsi" w:cstheme="minorHAnsi"/>
          <w:sz w:val="22"/>
          <w:szCs w:val="22"/>
        </w:rPr>
        <w:t xml:space="preserve"> die mit ihr/ihm in häuslicher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Gemeinschaft lebenden Personen mit dieser Regelung einverstanden sind.</w:t>
      </w:r>
    </w:p>
    <w:p w:rsidR="006C61EC" w:rsidRPr="006C61EC" w:rsidRDefault="006C61EC" w:rsidP="006C61EC">
      <w:pPr>
        <w:pStyle w:val="p1"/>
        <w:numPr>
          <w:ilvl w:val="0"/>
          <w:numId w:val="21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Wird der begründete Zutritt verweigert, hat die Dienststelle das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Recht, in diesem Fall die alternierende Telearbeit aus wichtigem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Grund durch außerordentliche Kündigung sofort zu beenden.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12 Rechte der Beschäftigtenvertretung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Da Telearbeit im Rahmen von Arbeitsverhältnissen durchgeführt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wird, bleibt die Beschäftigtenvertretung zuständig.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13 Einrichtung eines Arbeitskreises „Telearbeit“</w:t>
      </w:r>
    </w:p>
    <w:p w:rsidR="006C61EC" w:rsidRPr="006C61EC" w:rsidRDefault="006C61EC" w:rsidP="006C61EC">
      <w:pPr>
        <w:pStyle w:val="p1"/>
        <w:numPr>
          <w:ilvl w:val="0"/>
          <w:numId w:val="23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Ein paritätisch aus Mitgliedern des Dienststellenleitung,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Arbeitnehmerschaft und der Beschäftigtenvertretung gebildeter Arbeitskreis begleitet die Einführung und Entwicklung 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Telearbeit in der Firma.</w:t>
      </w:r>
    </w:p>
    <w:p w:rsidR="006C61EC" w:rsidRPr="006C61EC" w:rsidRDefault="006C61EC" w:rsidP="006C61EC">
      <w:pPr>
        <w:pStyle w:val="p1"/>
        <w:numPr>
          <w:ilvl w:val="0"/>
          <w:numId w:val="23"/>
        </w:numPr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Bei Bedarf berät der Arbeitskreis über Problemlösungen 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Optimierungen im Zusammenhang mit der alternierenden Telearbeit.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14 Kündigung des Telearbeitsplatzes</w:t>
      </w:r>
    </w:p>
    <w:p w:rsidR="006C61EC" w:rsidRDefault="006C61EC" w:rsidP="006C61EC">
      <w:pPr>
        <w:pStyle w:val="p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Der Telearbeitsplatz kann von beiden Seiten mit einer Frist von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… Monaten und ohne Angabe von Gründen gekündigt werden.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 Möglichkeit einer Kündigung aus wichtigem Grund bleibt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hiervon unberührt.</w:t>
      </w:r>
    </w:p>
    <w:p w:rsidR="006C61EC" w:rsidRPr="006C61EC" w:rsidRDefault="006C61EC" w:rsidP="006C61EC">
      <w:pPr>
        <w:pStyle w:val="p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Im Falle der Kündigung wird der häusliche Arbeitsplatz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geräumt. Die Dienststellenleitung kann die sofortige Herausgabe aller zur Verfügung gestellten Geräte einschließlich Software sowie Arbeitsmaterialien und Arbeitsergebnisse verlangen. Ein Zurückbehaltungsrecht steht der/dem Beschäftigten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insoweit nicht zu.</w:t>
      </w:r>
    </w:p>
    <w:p w:rsidR="006C61EC" w:rsidRDefault="006C61EC" w:rsidP="006C61EC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6C61EC" w:rsidRPr="006C61EC" w:rsidRDefault="006C61EC" w:rsidP="006C61EC">
      <w:pPr>
        <w:pStyle w:val="p1"/>
        <w:spacing w:before="240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b/>
          <w:bCs/>
          <w:sz w:val="22"/>
          <w:szCs w:val="22"/>
        </w:rPr>
        <w:t>§ 15 Inkrafttreten und Geltungsdauer</w:t>
      </w:r>
    </w:p>
    <w:p w:rsidR="006C61EC" w:rsidRPr="006C61EC" w:rsidRDefault="006C61EC" w:rsidP="006C61EC">
      <w:pPr>
        <w:pStyle w:val="p1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Diese Dienstvereinbarung tritt mit der Unterzeichnung in Kraft.</w:t>
      </w:r>
    </w:p>
    <w:p w:rsidR="006C61EC" w:rsidRPr="006C61EC" w:rsidRDefault="006C61EC" w:rsidP="006C61EC">
      <w:pPr>
        <w:pStyle w:val="p1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Sie kann mit einer Frist von … Monaten zum (Ende des Kalenderjahres) gekündigt werden. Für den Fall der Kündigung gilt sie für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diejenigen Mitarbeitenden weiter, die sich noch in alternierender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Telearbeit befinden. Die arbeitsvertraglichen Regelungen bleiben</w:t>
      </w:r>
      <w:r w:rsidRPr="006C61EC">
        <w:rPr>
          <w:rFonts w:asciiTheme="minorHAnsi" w:hAnsiTheme="minorHAnsi" w:cstheme="minorHAnsi"/>
          <w:sz w:val="22"/>
          <w:szCs w:val="22"/>
        </w:rPr>
        <w:t xml:space="preserve"> </w:t>
      </w:r>
      <w:r w:rsidRPr="006C61EC">
        <w:rPr>
          <w:rFonts w:asciiTheme="minorHAnsi" w:hAnsiTheme="minorHAnsi" w:cstheme="minorHAnsi"/>
          <w:sz w:val="22"/>
          <w:szCs w:val="22"/>
        </w:rPr>
        <w:t>unberührt. Im Übrigen ist eine Nachwirkung ausgeschlossen.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Ort, Datum</w:t>
      </w: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</w:t>
      </w:r>
    </w:p>
    <w:p w:rsidR="006C61EC" w:rsidRPr="006C61EC" w:rsidRDefault="006C61EC" w:rsidP="006C61EC">
      <w:pPr>
        <w:pStyle w:val="p1"/>
        <w:rPr>
          <w:rFonts w:asciiTheme="minorHAnsi" w:hAnsiTheme="minorHAnsi" w:cstheme="minorHAnsi"/>
          <w:sz w:val="22"/>
          <w:szCs w:val="22"/>
        </w:rPr>
      </w:pPr>
      <w:r w:rsidRPr="006C61EC">
        <w:rPr>
          <w:rFonts w:asciiTheme="minorHAnsi" w:hAnsiTheme="minorHAnsi" w:cstheme="minorHAnsi"/>
          <w:sz w:val="22"/>
          <w:szCs w:val="22"/>
        </w:rPr>
        <w:t>Unterschriften</w:t>
      </w:r>
    </w:p>
    <w:p w:rsidR="006C61EC" w:rsidRPr="006C61EC" w:rsidRDefault="006C61EC" w:rsidP="006C61EC">
      <w:pPr>
        <w:spacing w:before="100" w:beforeAutospacing="1" w:after="100" w:afterAutospacing="1"/>
        <w:outlineLvl w:val="2"/>
        <w:rPr>
          <w:rFonts w:cstheme="minorHAnsi"/>
          <w:sz w:val="22"/>
          <w:szCs w:val="22"/>
        </w:rPr>
      </w:pPr>
    </w:p>
    <w:sectPr w:rsidR="006C61EC" w:rsidRPr="006C61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B72"/>
    <w:multiLevelType w:val="multilevel"/>
    <w:tmpl w:val="4198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5180"/>
    <w:multiLevelType w:val="multilevel"/>
    <w:tmpl w:val="B3F4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20D7F"/>
    <w:multiLevelType w:val="hybridMultilevel"/>
    <w:tmpl w:val="FCA61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992"/>
    <w:multiLevelType w:val="hybridMultilevel"/>
    <w:tmpl w:val="564E3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1DC9"/>
    <w:multiLevelType w:val="hybridMultilevel"/>
    <w:tmpl w:val="79DC84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5155"/>
    <w:multiLevelType w:val="multilevel"/>
    <w:tmpl w:val="DFFA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03625"/>
    <w:multiLevelType w:val="hybridMultilevel"/>
    <w:tmpl w:val="2E62C2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46201"/>
    <w:multiLevelType w:val="hybridMultilevel"/>
    <w:tmpl w:val="F45CF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D25"/>
    <w:multiLevelType w:val="multilevel"/>
    <w:tmpl w:val="82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B4C5E"/>
    <w:multiLevelType w:val="multilevel"/>
    <w:tmpl w:val="EBE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E3F1A"/>
    <w:multiLevelType w:val="multilevel"/>
    <w:tmpl w:val="EE4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7244"/>
    <w:multiLevelType w:val="hybridMultilevel"/>
    <w:tmpl w:val="D96CBA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7C6"/>
    <w:multiLevelType w:val="multilevel"/>
    <w:tmpl w:val="1568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791A"/>
    <w:multiLevelType w:val="multilevel"/>
    <w:tmpl w:val="7E16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14B65"/>
    <w:multiLevelType w:val="multilevel"/>
    <w:tmpl w:val="32D8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96BF6"/>
    <w:multiLevelType w:val="hybridMultilevel"/>
    <w:tmpl w:val="947E3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18B0"/>
    <w:multiLevelType w:val="multilevel"/>
    <w:tmpl w:val="BAC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44444"/>
    <w:multiLevelType w:val="hybridMultilevel"/>
    <w:tmpl w:val="8E582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4A13"/>
    <w:multiLevelType w:val="hybridMultilevel"/>
    <w:tmpl w:val="0D2CA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D3D52"/>
    <w:multiLevelType w:val="hybridMultilevel"/>
    <w:tmpl w:val="9D0A0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B3BA3"/>
    <w:multiLevelType w:val="hybridMultilevel"/>
    <w:tmpl w:val="94C6E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83973"/>
    <w:multiLevelType w:val="hybridMultilevel"/>
    <w:tmpl w:val="76868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08BA"/>
    <w:multiLevelType w:val="multilevel"/>
    <w:tmpl w:val="D55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F4A42"/>
    <w:multiLevelType w:val="hybridMultilevel"/>
    <w:tmpl w:val="052E0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D413A"/>
    <w:multiLevelType w:val="hybridMultilevel"/>
    <w:tmpl w:val="E7401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205F1"/>
    <w:multiLevelType w:val="multilevel"/>
    <w:tmpl w:val="57D8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7634A"/>
    <w:multiLevelType w:val="hybridMultilevel"/>
    <w:tmpl w:val="B9940E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7788">
    <w:abstractNumId w:val="16"/>
  </w:num>
  <w:num w:numId="2" w16cid:durableId="732974406">
    <w:abstractNumId w:val="8"/>
  </w:num>
  <w:num w:numId="3" w16cid:durableId="1028524158">
    <w:abstractNumId w:val="10"/>
  </w:num>
  <w:num w:numId="4" w16cid:durableId="2021003225">
    <w:abstractNumId w:val="22"/>
  </w:num>
  <w:num w:numId="5" w16cid:durableId="229313676">
    <w:abstractNumId w:val="12"/>
  </w:num>
  <w:num w:numId="6" w16cid:durableId="857158092">
    <w:abstractNumId w:val="25"/>
  </w:num>
  <w:num w:numId="7" w16cid:durableId="271786918">
    <w:abstractNumId w:val="5"/>
  </w:num>
  <w:num w:numId="8" w16cid:durableId="1844127946">
    <w:abstractNumId w:val="14"/>
  </w:num>
  <w:num w:numId="9" w16cid:durableId="1151798300">
    <w:abstractNumId w:val="1"/>
  </w:num>
  <w:num w:numId="10" w16cid:durableId="474108789">
    <w:abstractNumId w:val="13"/>
  </w:num>
  <w:num w:numId="11" w16cid:durableId="1916284908">
    <w:abstractNumId w:val="0"/>
  </w:num>
  <w:num w:numId="12" w16cid:durableId="1449198169">
    <w:abstractNumId w:val="9"/>
  </w:num>
  <w:num w:numId="13" w16cid:durableId="933168699">
    <w:abstractNumId w:val="11"/>
  </w:num>
  <w:num w:numId="14" w16cid:durableId="1396854184">
    <w:abstractNumId w:val="17"/>
  </w:num>
  <w:num w:numId="15" w16cid:durableId="59836394">
    <w:abstractNumId w:val="15"/>
  </w:num>
  <w:num w:numId="16" w16cid:durableId="1797485235">
    <w:abstractNumId w:val="3"/>
  </w:num>
  <w:num w:numId="17" w16cid:durableId="1998024184">
    <w:abstractNumId w:val="6"/>
  </w:num>
  <w:num w:numId="18" w16cid:durableId="1553342881">
    <w:abstractNumId w:val="18"/>
  </w:num>
  <w:num w:numId="19" w16cid:durableId="1642224821">
    <w:abstractNumId w:val="20"/>
  </w:num>
  <w:num w:numId="20" w16cid:durableId="2061855410">
    <w:abstractNumId w:val="21"/>
  </w:num>
  <w:num w:numId="21" w16cid:durableId="1720281200">
    <w:abstractNumId w:val="19"/>
  </w:num>
  <w:num w:numId="22" w16cid:durableId="1927763046">
    <w:abstractNumId w:val="2"/>
  </w:num>
  <w:num w:numId="23" w16cid:durableId="192421025">
    <w:abstractNumId w:val="23"/>
  </w:num>
  <w:num w:numId="24" w16cid:durableId="1062829067">
    <w:abstractNumId w:val="26"/>
  </w:num>
  <w:num w:numId="25" w16cid:durableId="1004472838">
    <w:abstractNumId w:val="4"/>
  </w:num>
  <w:num w:numId="26" w16cid:durableId="990594223">
    <w:abstractNumId w:val="7"/>
  </w:num>
  <w:num w:numId="27" w16cid:durableId="5724724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24B59"/>
    <w:rsid w:val="0025397F"/>
    <w:rsid w:val="00302C1D"/>
    <w:rsid w:val="0032644E"/>
    <w:rsid w:val="003F13E2"/>
    <w:rsid w:val="00572DD9"/>
    <w:rsid w:val="005E645B"/>
    <w:rsid w:val="006C61EC"/>
    <w:rsid w:val="007B7494"/>
    <w:rsid w:val="007C3C53"/>
    <w:rsid w:val="008F7302"/>
    <w:rsid w:val="00914F5B"/>
    <w:rsid w:val="009C3F35"/>
    <w:rsid w:val="00B318FB"/>
    <w:rsid w:val="00C33A53"/>
    <w:rsid w:val="00DC404A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224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10838</Characters>
  <Application>Microsoft Office Word</Application>
  <DocSecurity>0</DocSecurity>
  <Lines>180</Lines>
  <Paragraphs>56</Paragraphs>
  <ScaleCrop>false</ScaleCrop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2025-07-16T13:43:00Z</dcterms:created>
  <dcterms:modified xsi:type="dcterms:W3CDTF">2025-07-16T13:43:00Z</dcterms:modified>
</cp:coreProperties>
</file>