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8FB" w:rsidRPr="00B318FB" w:rsidRDefault="00B318FB" w:rsidP="00B318FB">
      <w:pPr>
        <w:pStyle w:val="p1"/>
        <w:rPr>
          <w:rFonts w:asciiTheme="minorHAnsi" w:hAnsiTheme="minorHAnsi" w:cstheme="minorHAnsi"/>
          <w:sz w:val="28"/>
          <w:szCs w:val="28"/>
        </w:rPr>
      </w:pPr>
      <w:r w:rsidRPr="00B318FB">
        <w:rPr>
          <w:rFonts w:asciiTheme="minorHAnsi" w:hAnsiTheme="minorHAnsi" w:cstheme="minorHAnsi"/>
          <w:b/>
          <w:bCs/>
          <w:sz w:val="28"/>
          <w:szCs w:val="28"/>
        </w:rPr>
        <w:t>Dienstvereinbarung über die Nutzung von Cloud-Diensten bei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8"/>
          <w:szCs w:val="28"/>
        </w:rPr>
      </w:pPr>
      <w:r w:rsidRPr="00B318FB">
        <w:rPr>
          <w:rFonts w:asciiTheme="minorHAnsi" w:hAnsiTheme="minorHAnsi" w:cstheme="minorHAnsi"/>
          <w:b/>
          <w:bCs/>
          <w:sz w:val="28"/>
          <w:szCs w:val="28"/>
        </w:rPr>
        <w:t>der Dienststelle …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Dienstvereinbarung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zwischen Personalrat/Mitarbeitervertretung und der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Dienststellenleitung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zum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Datenschutz bei der Nutzung von Cloud-Diensten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Zur Gewährleistung der schutzwürdigen Interessen und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Belange der Bediensteten schließen die Dienststelle und der Personalrat/die Mitarbeitervertretung der Dienststelle folgende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Dienstvereinbarung: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Präambel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Software … dient dem Zweck der Effizienz und der Verschlankung der Dienststelle.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Beschäftigtenvertretung und die Dienststelle regeln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Einführung, den Betrieb, die Nutzung und die Änderung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Erweiterung des Programms in der folgenden Dienstvereinbarung. Andere als die beschriebenen Nutzungszwecke sind nicht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gestattet.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Diese Dienstvereinbarung ist als datenschutzrechtliche Erlaubnis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zur Verarbeitung personenbezogener Daten im Beschäftigungsverhältnis zu sehen. Soweit diese Dienstvereinbarung die Verarbeitung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personenbezogener Daten normiert, gilt sie als Erlaubnistatbestand im Sinne von Art. 88 Abs. 1 und Abs. 2 DSGVO.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Durch diese Dienstvereinbarung soll eine angemessene und sinnvolle Nutzung der Cloud-Software gesichert sein. Der Schutz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der personenbezogenen Daten vor unzulässigem Gebrauch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unberechtigtem Zugriff soll gewährleistet werden.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Bei der Verarbeitung der Beschäftigtendaten sind sowohl Art. 88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Abs. 2 DSGVO als auch die Grundsätze der Datenverarbeitung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nach Art. 5 DSGVO zu wahren.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1 Geltungsbereich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Diese Dienstvereinbarung gilt für alle Beschäftigten der Dienststelle.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2 Systembeschreibung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Genutzt wird … Eine Programmerklärung findet sich im Anhang.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3 Begriffserklärungen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Definition Cloud-Dienstleistungen: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In einer Private Cloud wird die Cloud-Infrastruktur nur für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eine Institution betrieben. Sie kann von der Institution selbst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oder einem Dritten organisiert und geführt werden und kann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dabei im Rechenzentrum der eigenen Institution oder einer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fremden Institution stehen.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Von einer Public Cloud wird gesprochen, wenn die Services 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der Allgemeinheit oder einer großen Gruppe, wie etwa einer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ganzen Industriebranche, genutzt werden können und die Services von einem Anbieter zur Verfügung gestellt werden.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In einer Community Cloud wird die Infrastruktur von mehreren Institutionen geteilt, die ähnliche Interessen haben. Eine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solche Cloud kann von einer dieser Institutionen oder einem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Dritten betrieben werden.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Werden mehrere Cloud-Infrastrukturen, die für sich selbst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eigenständig sind, über standardisierte Schnittstellen gemeinsam genutzt, wird dies Hybrid Cloud genannt.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4 Beauftragung von Auftragsverarbeitern oder sonstigen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b/>
          <w:bCs/>
          <w:sz w:val="22"/>
          <w:szCs w:val="22"/>
        </w:rPr>
        <w:t>Dienstleistern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Zur Vertragserfüllung setzt die Dienststelle den Auftragsverarbeiter … gem. Art. 28 DSGVO ein. Es wird ein Vertrag zur Auftragsverarbeitung gem. Art. 28 DSGVO geschlossen. Dieser kann bei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der Abteilung … eingesehen werden/ist dieser Dienstvereinbarung als Anlage beigefügt.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5 Verarbeitung personenbezogener Daten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Durch die Cloud-Software werden folgende personenbezogene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 xml:space="preserve">Beschäftigtendaten </w:t>
      </w:r>
      <w:proofErr w:type="spellStart"/>
      <w:r w:rsidRPr="00B318FB">
        <w:rPr>
          <w:rFonts w:asciiTheme="minorHAnsi" w:hAnsiTheme="minorHAnsi" w:cstheme="minorHAnsi"/>
          <w:sz w:val="22"/>
          <w:szCs w:val="22"/>
        </w:rPr>
        <w:t>erfasst</w:t>
      </w:r>
      <w:proofErr w:type="spellEnd"/>
      <w:r w:rsidRPr="00B318FB">
        <w:rPr>
          <w:rFonts w:asciiTheme="minorHAnsi" w:hAnsiTheme="minorHAnsi" w:cstheme="minorHAnsi"/>
          <w:sz w:val="22"/>
          <w:szCs w:val="22"/>
        </w:rPr>
        <w:t>: …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Nutzung der Protokolleinträge und Inhaltsdaten ist zulässig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(Zweckbindung)</w:t>
      </w:r>
    </w:p>
    <w:p w:rsidR="00B318FB" w:rsidRPr="00B318FB" w:rsidRDefault="00B318FB" w:rsidP="00B318FB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für anonymisierte statistische Auswertungen,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Vermeidung von technischen Störungen und Sicherheitsbedrohungen,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Analyse und Beseitigung von technischen Störungen und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Sicherheitsbedrohungen,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Aufklärung und Unterbindung einer </w:t>
      </w:r>
      <w:proofErr w:type="spellStart"/>
      <w:r w:rsidRPr="00B318FB">
        <w:rPr>
          <w:rFonts w:asciiTheme="minorHAnsi" w:hAnsiTheme="minorHAnsi" w:cstheme="minorHAnsi"/>
          <w:sz w:val="22"/>
          <w:szCs w:val="22"/>
        </w:rPr>
        <w:t>missbräuchlichen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Verwendung des Systems, sofern dafür Anhaltspunkte vorliegen,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Unterstützung der Verfolgungsbehörden bei Anhaltspunkten für Straftaten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Ordnungswidrigkeiten,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Aufklärung und Unterbindung von Verstößen gegen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arbeits- bzw. dienstrechtliche Bestimmungen.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Weitergehende Nutzungen sind unzulässig.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6 Schnittstellen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Schnittstellen mit anderen Systemen sind auf … abrufbar.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7 Zugriffs- und Berechtigungskonzept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Das Rechte- und Rollenkonzept mit den Details zu den Berechtigungen der verschiedenen Nutzergruppen ist in der Personalabteilung einsehbar.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8 Datenschutz und Aufbewahrungsfristen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 xml:space="preserve">Die Dienststelle stellt sicher, </w:t>
      </w:r>
      <w:proofErr w:type="spellStart"/>
      <w:r w:rsidRPr="00B318FB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B318FB">
        <w:rPr>
          <w:rFonts w:asciiTheme="minorHAnsi" w:hAnsiTheme="minorHAnsi" w:cstheme="minorHAnsi"/>
          <w:sz w:val="22"/>
          <w:szCs w:val="22"/>
        </w:rPr>
        <w:t xml:space="preserve"> ihre Informationspflichten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gem. Art. 12 ff. DSGVO erfüllt werden. Informiert werden müssen insbesondere die betroffenen Beschäftigten zu ihren Rechten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und Pflichten hinsichtlich der Datenverarbeitung sowie der dazu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abgeschlossenen Dienstvereinbarungen. Informationen über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Datenverarbeitung sind den betroffenen Beschäftigten in präziser, transparenter, verständlicher und leicht zugänglicher Form in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einer klaren und einfachen Sprache zu übermitteln. Dies erfolgt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im Intranet unter …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Soweit Beschäftigtendaten betroffen sind, werden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der entsprechende Eintrag in das Verzeichnis der Verarbeitungstätigkeiten gem. Art. 30 Abs. 1 DSGVO,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die Risikoanalyse gem. Art. 32 DSGVO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B318FB">
        <w:rPr>
          <w:rFonts w:asciiTheme="minorHAnsi" w:hAnsiTheme="minorHAnsi" w:cstheme="minorHAnsi"/>
          <w:sz w:val="22"/>
          <w:szCs w:val="22"/>
        </w:rPr>
        <w:t xml:space="preserve"> zur Einsichtnahme in der Abteilung … hinterlegt.</w:t>
      </w:r>
    </w:p>
    <w:p w:rsidR="00B318FB" w:rsidRPr="00B318FB" w:rsidRDefault="00B318FB" w:rsidP="00B318FB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personenbezogenen Beschäftigtendaten im Sinne von § 5 werden nach einer Dauer von vier Wochen gelöscht.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9 Änderung der Cloud-Anwendung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Eine wesentliche Änderung des Systems bedarf der vorherigen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Zustimmung des Personalrats/der Mitarbeitervertretung.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Dienststelle hat die Personalvertretung über beabsichtigte Änderungen zu informieren. Als eine zustimmungsbedürftige Änderung ist es insbesondere nicht anzusehen, wenn lediglich ein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Software-Update oder sonstige Systemveränderungen ohne eine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zusätzliche Funktion oder Erweiterungen des Systems erfolgt.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10 Salvatorische Klausel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Soweit einzelne Regelungen der Vereinbarung aufgrund anderweitiger rechtlicher Bestimmungen unwirksam sein oder werden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18FB">
        <w:rPr>
          <w:rFonts w:asciiTheme="minorHAnsi" w:hAnsiTheme="minorHAnsi" w:cstheme="minorHAnsi"/>
          <w:sz w:val="22"/>
          <w:szCs w:val="22"/>
        </w:rPr>
        <w:t>sollten, wird die Wirksamkeit der Vereinbarung im Übrigen hierdurch nicht berührt.</w:t>
      </w:r>
    </w:p>
    <w:p w:rsidR="00B318FB" w:rsidRDefault="00B318FB" w:rsidP="00B318F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B318FB" w:rsidRPr="00B318FB" w:rsidRDefault="00B318FB" w:rsidP="00B318FB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b/>
          <w:bCs/>
          <w:sz w:val="22"/>
          <w:szCs w:val="22"/>
        </w:rPr>
        <w:t>§ 11 Kündigung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Die Vereinbarung tritt am … in Kraft und ist jederzeit kündbar.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Ort, Datum</w:t>
      </w: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</w:t>
      </w:r>
    </w:p>
    <w:p w:rsidR="00B318FB" w:rsidRPr="00B318FB" w:rsidRDefault="00B318FB" w:rsidP="00B318FB">
      <w:pPr>
        <w:pStyle w:val="p1"/>
        <w:rPr>
          <w:rFonts w:asciiTheme="minorHAnsi" w:hAnsiTheme="minorHAnsi" w:cstheme="minorHAnsi"/>
          <w:sz w:val="22"/>
          <w:szCs w:val="22"/>
        </w:rPr>
      </w:pPr>
      <w:r w:rsidRPr="00B318FB">
        <w:rPr>
          <w:rFonts w:asciiTheme="minorHAnsi" w:hAnsiTheme="minorHAnsi" w:cstheme="minorHAnsi"/>
          <w:sz w:val="22"/>
          <w:szCs w:val="22"/>
        </w:rPr>
        <w:t>Unterschriften</w:t>
      </w:r>
    </w:p>
    <w:p w:rsidR="00302C1D" w:rsidRPr="00B318FB" w:rsidRDefault="00302C1D" w:rsidP="00B318FB">
      <w:pPr>
        <w:rPr>
          <w:rFonts w:cstheme="minorHAnsi"/>
          <w:sz w:val="22"/>
          <w:szCs w:val="22"/>
        </w:rPr>
      </w:pPr>
    </w:p>
    <w:sectPr w:rsidR="00302C1D" w:rsidRPr="00B318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5397F"/>
    <w:rsid w:val="00302C1D"/>
    <w:rsid w:val="0032644E"/>
    <w:rsid w:val="00572DD9"/>
    <w:rsid w:val="005E645B"/>
    <w:rsid w:val="007B7494"/>
    <w:rsid w:val="007C3C53"/>
    <w:rsid w:val="009C3F35"/>
    <w:rsid w:val="00B318F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5045</Characters>
  <Application>Microsoft Office Word</Application>
  <DocSecurity>0</DocSecurity>
  <Lines>84</Lines>
  <Paragraphs>26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2025-07-16T12:34:00Z</dcterms:created>
  <dcterms:modified xsi:type="dcterms:W3CDTF">2025-07-16T12:34:00Z</dcterms:modified>
</cp:coreProperties>
</file>