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A53" w:rsidRPr="00C33A53" w:rsidRDefault="00C33A53" w:rsidP="00C33A53">
      <w:pPr>
        <w:pStyle w:val="p1"/>
        <w:rPr>
          <w:rFonts w:asciiTheme="minorHAnsi" w:hAnsiTheme="minorHAnsi" w:cstheme="minorHAnsi"/>
          <w:sz w:val="28"/>
          <w:szCs w:val="28"/>
        </w:rPr>
      </w:pPr>
      <w:r w:rsidRPr="00C33A53">
        <w:rPr>
          <w:rFonts w:asciiTheme="minorHAnsi" w:hAnsiTheme="minorHAnsi" w:cstheme="minorHAnsi"/>
          <w:b/>
          <w:bCs/>
          <w:sz w:val="28"/>
          <w:szCs w:val="28"/>
        </w:rPr>
        <w:t>Dienstvereinbarung zum Beschäftigtendatenschutz und zur</w:t>
      </w:r>
      <w:r w:rsidRPr="00C33A53">
        <w:rPr>
          <w:rFonts w:asciiTheme="minorHAnsi" w:hAnsiTheme="minorHAnsi" w:cstheme="minorHAnsi"/>
          <w:sz w:val="28"/>
          <w:szCs w:val="28"/>
        </w:rPr>
        <w:t xml:space="preserve"> </w:t>
      </w:r>
      <w:r w:rsidRPr="00C33A53">
        <w:rPr>
          <w:rFonts w:asciiTheme="minorHAnsi" w:hAnsiTheme="minorHAnsi" w:cstheme="minorHAnsi"/>
          <w:b/>
          <w:bCs/>
          <w:sz w:val="28"/>
          <w:szCs w:val="28"/>
        </w:rPr>
        <w:t>Nutzung von Informations- und Kommunikationstechnologien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Dienstvereinbarung</w:t>
      </w:r>
      <w:r>
        <w:rPr>
          <w:rFonts w:asciiTheme="minorHAnsi" w:hAnsiTheme="minorHAnsi" w:cstheme="minorHAnsi"/>
          <w:sz w:val="22"/>
          <w:szCs w:val="22"/>
        </w:rPr>
        <w:t xml:space="preserve"> z</w:t>
      </w:r>
      <w:r w:rsidRPr="00C33A53">
        <w:rPr>
          <w:rFonts w:asciiTheme="minorHAnsi" w:hAnsiTheme="minorHAnsi" w:cstheme="minorHAnsi"/>
          <w:sz w:val="22"/>
          <w:szCs w:val="22"/>
        </w:rPr>
        <w:t>wischen Personalrat/Mitarbeitervertretung und der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softHyphen/>
        <w:t>Dienststellenleitung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zum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Beschäftigtendatenschutz und zur Nutzung von Informations-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und Kommunikationstechnologien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Präambel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Beschäftigtenvertretung und Dienstherr sind sich einig,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Nutzung, Vernetzung und Weiterentwicklung elektronischer Datenverarbeitungs- und Kommunikationssysteme eine unabdingbare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Voraussetzung für die tägliche Arbeit in der Dienststelle darstellen.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Dienstherr und Beschäftigtenvertretung stimmen in der Auffassung überein,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die Ausstattung der Dienststelle mit einer zeitgemäßen Datenverarbeitungs- (DV) bzw. Informations- und Kommunikationstechnik (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IuK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) eine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unerlässliche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Anforderung ist, 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im heutigen Wettbewerb bestehen zu können.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Gemeinsam wird das Ziel verfolgt, die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IuK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-Systeme so zu gestalten,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die erhöhte Produktivität durch die Mitarbeiterinnen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 Mitarbeiter positiv genutzt werden kann und durch erhöhte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Ergonomie einen Beitrag zur Steigerung der Arbeitsqualität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-zufriedenheit leistet. Des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Weiteren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ist zu gewährleisten,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informationelle Selbstbestimmungsrecht der Mitarbeiterinnen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 Mitarbeiter jederzeit gewahrt ist.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1 Gegenstand und Geltungsbereich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Dienstvereinbarung gilt für alle Mitarbeiterinnen und Mitarbeiter der Dienststelle.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Die Dienststelle vereinbart auch bei Verträgen mit Dritten,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die Richtlinien des Datenschutzes im Rahmen der Dienstleistung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des Dritten für die Dienststelle eingehalten 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Ziel dieser Vereinbarung ist es, allgemeine Richtlinien für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Ausgestaltung und Entwicklung computerunterstützter Arbeitssysteme aufzustellen. Bei der Einführung neuer DV- und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IuK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-Systeme können ergänzende und weiterführende Dienstvereinbarungen abgeschlossen 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Im Einsatz sind derzeit die folgenden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IuK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-Anwendungssysteme … Ferner hat die Beschäftigtenvertretung das Recht, jederzeit Unterlagen über die vorhandene Hardware sowie Systembeschreibungen einzusehen und sich erläutern zu lassen.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2 Begriffsbestimmungen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Personenbezogene Daten sind alle Einzelangaben über persönliche und sachliche Verhältnisse bestimmter oder bestimmbarer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Arbeitnehmender und ihrer Angehörigen.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Daten ohne Personenbezug sind nicht Gegenstand dieser Vereinbarung. Daten mit Personenbezug werden auch insoweit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erfasst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als sie zwischen verschiedenen eingesetzten Datenverarbeitungssystemen ausgetauscht 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Als Personaldatenverarbeitung </w:t>
      </w:r>
      <w:proofErr w:type="gramStart"/>
      <w:r w:rsidRPr="00C33A53">
        <w:rPr>
          <w:rFonts w:asciiTheme="minorHAnsi" w:hAnsiTheme="minorHAnsi" w:cstheme="minorHAnsi"/>
          <w:sz w:val="22"/>
          <w:szCs w:val="22"/>
        </w:rPr>
        <w:t>werden</w:t>
      </w:r>
      <w:proofErr w:type="gramEnd"/>
      <w:r w:rsidRPr="00C33A53">
        <w:rPr>
          <w:rFonts w:asciiTheme="minorHAnsi" w:hAnsiTheme="minorHAnsi" w:cstheme="minorHAnsi"/>
          <w:sz w:val="22"/>
          <w:szCs w:val="22"/>
        </w:rPr>
        <w:t xml:space="preserve"> die Erhebung, die Speicherung, die Weiterleitung innerhalb der Dienststelle, die Übermittlung an Dritte außerhalb der Dienststelle (einschließlich der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Gewährung des Zugriffs), die Auswertung (einschließlich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Verknüpfung und Veränderung, Abfrage und Ausgabe von Einzeldaten, Datensätzen, Listen, Statistiken usw.), die Sperrung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Löschung verstanden.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Im Übrigen gelten die Begriffsbestimmungen des Bundesdatenschutzgesetzes.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3 Arbeitsplatz- und Arbeitsumgebungsergonomie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Alle Beschäftigten werden mit einer zeitgemäßen Technik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einem ihrer Arbeitsaufgabe entsprechenden einheitlichen Softwarestand ausgestattet. Bei neu anzuschaffenden Geräten ist der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jeweils neueste gesicherte arbeitswissenschaftliche Erkenntnisstand zu berücksichtigen.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Bei der Einrichtung der Arbeitsplätze sowie einer mindestens jährlich stattfindenden Überprüfung werden die Beschäftigten durch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den Dienstgeber oder dessen Erfüllungsgehilfen über ergonomische Maßnahmen insbesondere der Arbeitsumgebungsgestaltung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(etwa Bildschirme in Augenhöhe, Stellung der Geräte zum einfallenden Licht) hingewiesen, die sie selbst zum Erhalt ihrer Gesundheit beeinflussen können.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4 Software-Ergonomie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Bei der Software-Auswahl wird außer der notwendigen funktionalen Tiefe der einzusetzenden Programme (fachliche Anforderungen) dem Ziel einer hohen Benutzerfreundlichkeit gleich hohe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Beachtung eingeräumt.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Benutzerfreundlich ist eine Software vor allem dann, wenn sie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einen hohen Selbsterklärungsgrad aufweist,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intuitiv zu bedienen und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leicht zu erlernen ist,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die Benutzerinnen und Benutzer nicht mit technikspezifischen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Befehlen oder Handhabungen belastet,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Hilfestellungen situativ und in deutscher Sprache erfolgen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lässt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überschaubar bleibt und leicht den sich verändernden Anforderungen der Arbeit anzupassen ist.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Allen Benutzerinnen und Benutzern steht eine Unterstützung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durch einen Benutzerservice zur Verfügung; der über den Stellenplan der EDV-Abteilung bzw. vertraglichen Vereinbarungen mit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Drittanbietern von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IuK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-Systemen abgedeckt wird. Hierüber erhalten sie auch Informationen über die in der Dienststelle eingesetzte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Standardsoftware.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Zentrale Systemteile (Server) und Netzwerk werden so dimensioniert,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die Verfügbarkeit an den Arbeitsplätzen und kurze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Antwortzeiten gewährleistet sind.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5 Gesundheitsschutz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Soweit es vom Betriebs- oder Facharzt für erforderlich gehalten wird, Belastungen der Augen festzustellen, können mit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augen</w:t>
      </w:r>
      <w:r w:rsidRPr="00C33A53">
        <w:rPr>
          <w:rFonts w:asciiTheme="minorHAnsi" w:hAnsiTheme="minorHAnsi" w:cstheme="minorHAnsi"/>
          <w:sz w:val="22"/>
          <w:szCs w:val="22"/>
        </w:rPr>
        <w:softHyphen/>
        <w:t>ärztlichen Untersuchungen auch Sehtests am Arbeitsplatz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während eines normalen Arbeitstages verbunden 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6 Arbeitsabläufe und Arbeitsbedingungen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Computerunterstützte Arbeitssysteme werden so gestaltet,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Arbeit in ganzheitlichen, von den Beschäftigten als sinnvoll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zusammengehörend empfundenen Einheiten organisiert wird,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Formen von Zusammenarbeit unterstützt werden (Teamorientierung),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der Anteil ausführender und sich wiederholender Tätigkeiten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zugunsten dispositiver und kreativer Tätigkeiten zurückgedrängt wird,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dabei stark differenzierenden oder hierarchisierenden Arbeitsteilungen entgegengewirkt wird (ganzheitliche Arbeitsweise),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lastRenderedPageBreak/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ein möglichst von den Beschäftigten selbst bestimmbarer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Wechsel zwischen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computerunterstützten und bildschirmfreien Tätigkeiten erfolgen kann (Mischarbeit) und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in den Arbeitsabläufen genügend soziale Kontakte erhalten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bleiben.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Der Dienstherr stellt durch geeignete Maßnahmen sicher,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Tätigkeit der Beschäftigten so organisiert wird,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die tägliche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Arbeit an den Bildschirmgeräten regelmäßig durch andere Tätigkeiten oder Pausen unterbrochen wird, die jeweils die Belastung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durch die Arbeit am Bildschirmgerät verringern.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anzustrebende Mischarbeit soll ausführende, planende, kontrollierende und mit Entscheidungen verbundene Tätigkeiten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umfassen.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Einseitige Spezialisierungen bis hin zu reinen Datenerfassungstätigkeiten sind soweit wie möglich zu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vermeiden.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7 Workflow-Funktionen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Durch die Nutzung von Workflow-Funktionen sollen die Transparenz der Arbeitsabläufe erhöht, ein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prozessorientiertes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Arbeiten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gefördert, die Verantwortlichkeit auf der direkten Arbeitsebene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gestärkt und die Kommunikation unter den Beschäftigten verbessert 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Beschäftigten verfügen im Rahmen ihrer arbeitsvertraglichen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Verpflichtungen in eigener Verantwortung über die ihnen zugeteilten Speichermedien (lokal sowie auf den Netzwerkservern);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sie entscheiden selbst über die Freigabe von Dokumenten, zu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welchen Zeitpunkten sie Kopien von Zwischenergebnissen festhalten, und können diese nach abgeschlossener Arbeit löschen.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Sie erhalten ebenfalls die Möglichkeit, selbst festzulegen, welche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Dokumente sie mit anderen austauschen wollen.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Arbeitsvorgänge werden erst nach ausdrücklicher Freigabe durch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die bearbeitende Person vom Workflow der entsprechenden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Systeme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erfasst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. Soweit Systeme Informationen über die Bearbeitungshistorie erfassen und festhalten, dürfen diese nicht personenbezogen, insbesondere nicht zum Zwecke von Verhaltens-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oder Leistungskontrollen, ausgewertet werden, außer es besteht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eine gesonderte Vereinbarung zwischen Beschäftigtenvertreter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 Dienstherr hierüber.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Sofern ein System eine Reihenfolge von Arbeitsabfolgen oder eine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Auswahl aus Bearbeitungsalternativen anzeigt, hat diese Systemleistung lediglich Vorschlagscharakter; die Mitarbeiterinnen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Mitarbeiter können von den Systemvorschlägen jederzeit abweichen.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8 Qualifizierung der Beschäftigten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Dienstherr und Beschäftigtenvertretung stimmen darin überein,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eine gründliche Ausbildung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unerlässliche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Voraussetzung für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ein produktives und die Mitarbeiterinnen und Mitarbeiter zufriedenstellendes späteres Arbeiten ist. Beide Seiten wissen,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Einarbeitungsphasen bis zum sicheren Beherrschen der Technik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durch alle Betroffenen zusätzliche Belastungen anfallen. Der Dienstherr sichert zu, diese Belastungen so gering wie möglich zu halten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 eventuell erforderliche Mehrarbeit in Grenzen zu halten.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Werden neue computerunterstützte Anwendungen eingeführt,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muss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deren Pflichtenheft oder das vergleichbare Planungsdokument die geplanten Aufgabenverteilungen und Qualifizierungsmaßnahmen in einer Beschreibung ihres Inhaltes und ihrer zeitlichen Abwicklung ausweisen. Dabei werden den betroffenen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Beschäftigten, die mit dem System arbeiten sollen, Einführungsveranstaltungen angeboten, die die Charakteristik der verwendeten Rechner und der </w:t>
      </w:r>
      <w:r w:rsidRPr="00C33A53">
        <w:rPr>
          <w:rFonts w:asciiTheme="minorHAnsi" w:hAnsiTheme="minorHAnsi" w:cstheme="minorHAnsi"/>
          <w:sz w:val="22"/>
          <w:szCs w:val="22"/>
        </w:rPr>
        <w:lastRenderedPageBreak/>
        <w:t>eingesetzten Programme in einem Überblick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behandeln. </w:t>
      </w:r>
      <w:proofErr w:type="gramStart"/>
      <w:r w:rsidRPr="00C33A53">
        <w:rPr>
          <w:rFonts w:asciiTheme="minorHAnsi" w:hAnsiTheme="minorHAnsi" w:cstheme="minorHAnsi"/>
          <w:sz w:val="22"/>
          <w:szCs w:val="22"/>
        </w:rPr>
        <w:t>In unmittelbarem zeitlichen Zusammenhang</w:t>
      </w:r>
      <w:proofErr w:type="gramEnd"/>
      <w:r w:rsidRPr="00C33A53">
        <w:rPr>
          <w:rFonts w:asciiTheme="minorHAnsi" w:hAnsiTheme="minorHAnsi" w:cstheme="minorHAnsi"/>
          <w:sz w:val="22"/>
          <w:szCs w:val="22"/>
        </w:rPr>
        <w:t xml:space="preserve"> mit dieser Einführung wird die Arbeit mit den neuen Geräten und/oder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Programmen aufgenommen.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Während einer angemessenen Einarbeitungsphase findet ein Ausbildungstraining statt. Dieses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umfasst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: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einen theoretisch-systematischen Teil, der zunächst die Funktionsweise von Rechner, Netzwerk und Anwendungsprogrammen, dann erst die konkrete Bedienung behandelt. Dieser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Ausbildungsteil wird von einer fachlich, technisch und pädagogisch kundigen Person durchgeführt.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Daran schließt sich eine praktische Lernphase an, die in einer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stufenweisen Aufnahme der produktiven Arbeit mündet.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In zunächst wöchentlichem, später seltenerem Turnus findet ein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Erfahrungsaustausch der Anwenderinnen und Anwender mit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der Ausbildungsstelle und den Projektverantwortlichen statt,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der sowohl der Klärung von Verständnisschwierigkeiten als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auc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dem Sammeln von Verbesserungs</w:t>
      </w:r>
      <w:proofErr w:type="gramStart"/>
      <w:r w:rsidRPr="00C33A53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</w:t>
      </w:r>
      <w:proofErr w:type="gramEnd"/>
      <w:r w:rsidRPr="00C33A53">
        <w:rPr>
          <w:rFonts w:asciiTheme="minorHAnsi" w:hAnsiTheme="minorHAnsi" w:cstheme="minorHAnsi"/>
          <w:sz w:val="22"/>
          <w:szCs w:val="22"/>
        </w:rPr>
        <w:t xml:space="preserve"> Erweiterungsvorschlägen dient.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Anfangs findet regelmäßig eine Beratung zwischen Dienststellenleitung und Beschäftigtenvertretung statt, die der systematischen Zusammenfassung der Erfahrungen und erster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Schlussfolgerungen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für ein generelles Ausbildungskonzept für spätere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Übertragungen des Systems in andere Anwendungsbereiche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dient.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Bei größeren Anwendungssystemen ist auf Verlangen des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Beschäftigtenvertreters der Qualifizierungsplan im Einzelnen zu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vereinbaren.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9 Verarbeitung und Nutzung von Personendaten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Im Rahmen wechselseitiger arbeitsvertraglicher Verpflichtungen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 aufgrund gesetzlicher Vorgaben können personenbezogene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Daten der Arbeitnehmerinnen und Arbeitnehmer zweckgebunden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gespeichert werden. Daten werden nicht länger erhoben, gespeichert oder anderweitig genutzt, als dies aufgrund der wechselseitigen arbeitsvertraglichen Verpflichtungen oder der gesetzlichen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Vorgaben zwingend nötig ist.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Verarbeitung personenbezogener Daten richtet sich nach 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Grundsätzen der Zweckbindung, Normenklarheit und Verhältnismäßigkeit: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Es erfolgen daher nur solche Verarbeitungen persönlicher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Beschäftigtendaten, deren Zwecke vorher im Einzelnen festgelegt worden sind (Zweckbindung).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Die Regeln der Verarbeitung müssen für alle Beteiligten klar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erkennbar und nachvollziehbar sein (Normenklarheit).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Die Verarbeitung persönlicher Beschäftigtendaten wird auf ein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sparsames Ausmaß begrenzt: Sie soll nur so viele Daten, wie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zum Erreichen der jeweiligen Verarbeitungszwecke unbedingt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erforderlich sind, umfassen (Verhältnismäßigkeit).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Beschäftigten können sich jederzeit über die über ihre Person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erhobenen, gespeicherten und anderweitig genutzten Daten informieren lassen, auf Wunsch geschieht dies schriftlich. Unrichtige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Daten sind auf Antrag der/des Beschäftigten zu berichtigen. Kann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der Dienstherr die Richtigkeit einzelner Daten oder die Zweckmäßigkeit ihrer Speicherung nicht nachweisen, sind die Daten unverzüglich zu löschen.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Ist für die Erfüllung einer betrieblichen Funktion der Personenbezug von Daten nicht erforderlich, darf deren Verarbeitung nur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in anonymisierter Form erfolgen; dies gilt insbesondere bei der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Übermittlung. Eine De-Anonymisierung anonymisierter Daten ist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untersagt.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lastRenderedPageBreak/>
        <w:t>Andere als die oben genannten Personaldaten werden nicht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erfasst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, gespeichert, verarbeitet oder genutzt.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Eingaben, Abfragen und Auswertung erfolgen bei personenbezogenen Daten ausschließlich durch maskenabhängige Verfahren.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Grundsätze über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Bildschirmein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- und -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ausgabemasken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, Verarbeitungsabläufe und Verknüpfungsmöglichkeiten, Druckerausgaben,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Datenübermittlung in andere Systeme und Zugriffsberechtigungen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sind mit der Beschäftigtenvertretung abzustimmen, bei wesentlichen Änderungen ist die Beschäftigtenvertretung zu beteiligen.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Listengeneratoren und vergleichbare Werkzeuge dürfen ohne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ausdrückliche Zustimmung der Beschäftigtenvertretung nur 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Entwicklungsbereich ohne Echtdaten verwendet 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Der Dienstherr stellt durch organisatorische und technische Vorkehrungen sicher,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nur befugte Personen im Rahmen ihrer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Systemprivilegien bzw. betrieblichen Aufgabenstellung und unter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Beachtung dieser Dienstvereinbarung auf Dateien, die Daten mit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Personenbezug enthalten, zugreifen können. Derartige Zugriffe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sind durch gesonderten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Passwortschutz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zu sichern und zu dokumentieren.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Alle Mitarbeiterinnen und Mitarbeiter, die im Rahmen ihrer Aufgaben in Kontakt mit personenbezogenen Daten von Beschäftigten kommen, sind vom Datenschutzbeauftragten im Hinblick auf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das Datenschutzrecht und die besondere Schutzwürdigkeit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Daten zu schulen und auf den Datenschutz zu verpflichten.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Durch Protokollierung der Zugriffe auf Dateien mit personenbezogenen Daten wird sichergestellt,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etwaige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Missbrauchsfälle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nachträglich überprüft und geahndet werden können. Protokolle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sind nach sechs Monaten zu löschen; sie dürfen nur zum Zweck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der Aufklärung von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Missbrauchsfällen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eingesehen werden.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Hierzu ist ausschließlich der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Kontrollausschuss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IT berechtigt.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Es wird automatisch eine lückenlose Protokollierung aller maschinellen Auswertungsläufe, Datenweiterleitungen und Datenübermittlungen (einschließlich der Versuche) erstellt, soweit dies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technisch möglich und ökonomisch vertretbar ist. Diese Protokollierung ist spätestens nach sechs Monaten zu löschen.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Dateien mit personenbezogenen Daten werden nicht auf extern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C33A53">
        <w:rPr>
          <w:rFonts w:asciiTheme="minorHAnsi" w:hAnsiTheme="minorHAnsi" w:cstheme="minorHAnsi"/>
          <w:sz w:val="22"/>
          <w:szCs w:val="22"/>
        </w:rPr>
        <w:t>Datenträger (Disketten, tragbare Rechner etc.) übertragen, es sei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denn, die Beschäftigtenvertretung und der Dienstherr haben allgemein oder für den Einzelfall ihre Zustimmung erteilt.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Entsorgung ausgedruckter Personaldaten (auch Fehldrucke)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hat so zu erfolgen,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ein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Missbrauch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ausgeschlossen ist. Archivmaterialien, die Personaldaten enthalten und nach dem Ablauf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der vorgeschriebenen Aufbewahrungsfristen vernichtet oder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beseitigt werden sollen, werden ebenfalls einer sicheren Datenträgervernichtung zugeführt.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Mithilfe der eingesetzten Systeme werden keine Leistungs-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Verhaltenskontrollen durchgeführt.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Folgende Regelungen sind besonders zu beachten: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Systemsoftware: Soweit Betriebssysteme, Netzwerksysteme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sonstige systemnahe Software-Aktivitäten der Benutzer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Benutzerinnen aufzeichnen, dürfen diese nur zur Gewährleistung der Systemsicherheit, zur Analyse und Korrektur technischer Fehler in den Systemen, zur Steuerung und Optimierung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der Systeme und zur Abrechnung verbrauchter Systemleistungen benutzt werden. Die Zugriffsrechte auf die entsprechenden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Funktionen bleiben auf den Personenkreis beschränkt, der mit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der technischen Administration der Systeme betraut ist.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Speicherdauer der entsprechenden Protokolldateien wird 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33A53">
        <w:rPr>
          <w:rFonts w:asciiTheme="minorHAnsi" w:hAnsiTheme="minorHAnsi" w:cstheme="minorHAnsi"/>
          <w:sz w:val="22"/>
          <w:szCs w:val="22"/>
        </w:rPr>
        <w:t>kurz gehalten</w:t>
      </w:r>
      <w:proofErr w:type="gramEnd"/>
      <w:r w:rsidRPr="00C33A53">
        <w:rPr>
          <w:rFonts w:asciiTheme="minorHAnsi" w:hAnsiTheme="minorHAnsi" w:cstheme="minorHAnsi"/>
          <w:sz w:val="22"/>
          <w:szCs w:val="22"/>
        </w:rPr>
        <w:t>, wie es zur Erreichung der genannten Ziele erforderlich ist; längstens beträgt sie sechs Monate.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lastRenderedPageBreak/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Netzwerkverwaltung: Soweit mittels Software zur Unterstützung der Netzwerkverwaltung ein Zugriff auf die Arbeitsplatzrechner von Mitarbeiterinnen und Mitarbeitern möglich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ist, kann der Zugriff nur mit Einwilligung der betroffenen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Beschäftigten erfolgen.</w:t>
      </w:r>
    </w:p>
    <w:p w:rsidR="00C33A53" w:rsidRP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Namenskennzeichnungen: Kennzeichen oder Namen von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bearbeitenden Beschäftigten dürfen in Anwendungsprogrammen angezeigt werden, um im Einzelfall eine verantwortliche,</w:t>
      </w:r>
    </w:p>
    <w:p w:rsidR="00C33A53" w:rsidRDefault="00C33A53" w:rsidP="00C33A53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zuständige oder anzusprechende Person kenntlich zu machen.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Es werden keine Programmfunktionen zur Verfügung gestellt,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in denen Mitarbeiteridentifizierungen statistisch oder zeitlich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zurückverfolgend ausgewertet werden, es sei denn, dies ist zwischen Dienststellenleitung und Beschäftigtenvertretung ausdrücklich vereinbart. Dies gilt auch für Auswertungen über das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Benutzerverhalten kleiner Gruppen (20 oder weniger Personen).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10 Generelle Regeln zur Nutzung elektronischer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b/>
          <w:bCs/>
          <w:sz w:val="22"/>
          <w:szCs w:val="22"/>
        </w:rPr>
        <w:t>Kommunikation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Elektronische Postsysteme (E-Mail), Internetzugang oder weitere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hausinterne Informations- und Kommunikationsdienste (etwa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Intranet) werden je nach betrieblicher Notwendigkeit von der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Dienststellenleitung als Arbeitsmittel zur Verfügung gestellt.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E-Mail dient der Kommunikation der Beschäftigten untereinander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 der Kommunikation mit externen Stellen. Intranet dient als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betriebsinternes Informations- und Kommunikationsmedium für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alle Beschäftigten. Das Internet dient dem Zugriff der Beschäftigten auf externe Informationen.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Eine private Nutzung dieser Systeme ist ausgeschlossen.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Jede Nutzung, die gegen geltende Rechtsvorschriften verstößt,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Sicherheit des Firmennetzes beeinträchtigt oder den Interessen des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Dienstherrn und dessen Ansehen in der Öffentlichkeit schadet, ist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unzulässig, insbesondere das Aufrufen oder Verbreiten von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Inhalten, die gegen straf-, persönlichkeits-, urheber- oder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datenschutzrechtliche Bestimmungen verstoßen;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rassistischen, sexistischen oder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pornografischen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Inhalten.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Als Verbindungsdaten für externe Mail-Versendungen und Zugriffe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auf das Internet werden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protokolliert: Datum, Uhrzeit, Sender-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Empfängeradresse bzw. aufgerufene Website, gegebenenfalls übertragene Datenmenge. Diese Daten dienen der Sicherstellung des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ordnungsgemäßen Betriebs der E-Mail- und Internet-Dienste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werden nicht für Verhaltens- oder Leistungskontrollen genutzt. Sie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werden nach spätestens sechs Monaten gelöscht.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Inhalte von E-Mails unterliegen der Vertraulichkeit zwischen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Sender und Empfänger. Ohne Kenntnis und Zustimmung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Betroffenen darf hier kein Einblick genommen 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11 Gewährleistung der Systemsicherheit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Jeder Nutzer und jede Nutzerin des DV-Netzes erhält zur Gewähr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leistung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des ordnungsgemäßen Betriebes und der Systemsicherheit eine Zugriffsberechtigung (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Passwort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Passwörter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bestehen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aus mindestens sechs Zeichen, davon mindestens ein Sonderzeichen. Die Weitergabe von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Passwörtern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ist nicht gestattet.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Werden von den Benutzenden die Beachtung und Umsetzung von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Sicherheitsmaßnahmen gefordert, dann sind diese Maßnahmen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den Benutzenden vorab schriftlich mitzuteilen. Insbesondere ist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jedem Benutzer und jeder Benutzerin ein Exemplar dieser Dienstvereinbarung auszuhändigen.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lastRenderedPageBreak/>
        <w:t>Die Dienststellenleitung führt im erforderlichen Umfang Schulungsmaßnahmen für die Nutzung von E-Mail, Intranet, Internet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sowie anderer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IuK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- und DV-Dienste und über die Einhaltung der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dabei zu beachtenden Sicherheitsmaßnahmen durch.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Bei konkretem Verdacht des Verstoßes gegen den Datenschutz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bzw. auf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missbräuchliche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Nutzung der DV- und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IuK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-Systeme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kann unter vorheriger Beteiligung der Beschäftigtenvertretung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eine mitarbeiterbezogene Überprüfung von personenbezogenen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Daten durchgeführt 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Diese Überprüfung erfolgt durch den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Kontrollausschuss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IT, bestehend aus einem Beschäftigtenvertretungsmitglied, der/dem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Datenschutzbeauftragten, einer/m Netzwerkadministrator/in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und einer Vertretung der Geschäftsführung. Der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Sicherheitsausschuss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hört die Betroffenen an und fertigt einen Bericht an,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den Betroffenen, der Beschäftigtenvertretung und der Geschäftsführung weiterzuleiten ist. Der Bericht soll eine Empfehlung über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das weitere Vorgehen enthalten.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12 Arbeitsrechtliche Maßnahmen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Werden bei der Überprüfung durch den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Sicherheitsausschuss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gravierende Verstöße gegen diese Dienstvereinbarung festgestellt, 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kann dies arbeitsrechtliche Maßnahmen zur Folge haben.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Falls eine Personaldatenverarbeitung erfolgt, die durch diese Vereinbarung nicht ausdrücklich gestattet oder unter Verstoß gegen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das Verbot von Leistungs- und Verhaltenskontrollen oder gegen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andere Rechtsvorschriften erfolgt ist, sind die Daten grundsätzlich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zu sperren bzw. ausnahmsweise nicht </w:t>
      </w:r>
      <w:proofErr w:type="gramStart"/>
      <w:r w:rsidRPr="00C33A53">
        <w:rPr>
          <w:rFonts w:asciiTheme="minorHAnsi" w:hAnsiTheme="minorHAnsi" w:cstheme="minorHAnsi"/>
          <w:sz w:val="22"/>
          <w:szCs w:val="22"/>
        </w:rPr>
        <w:t>bei unvertretbarem wirtschaftlichen Aufwand</w:t>
      </w:r>
      <w:proofErr w:type="gramEnd"/>
      <w:r w:rsidRPr="00C33A53">
        <w:rPr>
          <w:rFonts w:asciiTheme="minorHAnsi" w:hAnsiTheme="minorHAnsi" w:cstheme="minorHAnsi"/>
          <w:sz w:val="22"/>
          <w:szCs w:val="22"/>
        </w:rPr>
        <w:t>. Außerdem können die dadurch gewonnenen Erkenntnisse nicht zum Nachteil einer Arbeitnehmerin oder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eines Arbeitnehmers verwendet werden. 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Dies schließt auch eine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mittelbare Verwendung, wie etwa über Zeugen, aus.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Sollen aufgrund von möglichen Verstößen oder Fehlern von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Beschäftigten beim Umgang mit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IuK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>- oder DV-Systemen Abmahnungen bzw. Kündigungen ausgesprochen werden, so hat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Dienstherr vorher die Quelle dieser Fehler zu analysieren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 xml:space="preserve">gegebenenfalls sicherzustellen,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der/die betroffene Beschäftigte ausreichend belehrt bzw. geschult worden ist.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13 Rechte und Pflichten der Beschäftigtenvertretung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Beschäftigtenvertretung hat das Recht, jederzeit die Einhaltung dieser Dienstvereinbarung zu kontrollieren. Dazu sind ihr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auf Aufforderung entsprechende Programme oder Prüfhilfen zur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Verfügung zu stellen einschließlich der Möglichkeit, sich die Systemdokumentationen ausdrucken bzw. abrufen zu lassen.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Über ein geplantes neues Anwendungssystem wird die Beschäftigtenvertretung schriftlich umfassend zu Beginn der Planungsphase informiert. Eine ausführliche Beratung findet statt, sobald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die Umsetzung des entsprechenden Projekts konkret erkennbar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ist. Bei dieser Gelegenheit prüfen beide Seiten, ob die Grundsätze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dieser Vereinbarung eingehalten sind, und nehmen gegebenenfalls Verhandlungen auf mit dem Ziel der einvernehmlichen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Regelung von Abweichungen oder Ergänzungen zu dieser Vereinbarung.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 xml:space="preserve">Machen die Parteien geltend, </w:t>
      </w:r>
      <w:proofErr w:type="spellStart"/>
      <w:r w:rsidRPr="00C33A53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C33A53">
        <w:rPr>
          <w:rFonts w:asciiTheme="minorHAnsi" w:hAnsiTheme="minorHAnsi" w:cstheme="minorHAnsi"/>
          <w:sz w:val="22"/>
          <w:szCs w:val="22"/>
        </w:rPr>
        <w:t xml:space="preserve"> die Grundsätze dieser Vereinbarung nicht oder nicht mehr eingehalten sind, so haben sie das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Recht, eine diesbezügliche diese Vereinbarung ergänzende Regelung zu verlangen. Über diese wird mit dem Ziel einer einvernehmlichen Regelung verhandelt.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Beschäftigtenvertretung ist im Sinne des Datenschutzrechts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Teil der jeweiligen Speicherstelle und nicht Dritter. Die Beschäftigtenvertretung gewährleistet die Einhaltung des Schutzes der bei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ihr gespeicherten bzw. der ihr zugänglichen Beschäftigtendaten.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lastRenderedPageBreak/>
        <w:t>Eine eigene personenbezogene Datenverarbeitung der Beschäftigtenvertretung findet im Rahmen der Aufgabenstellung des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Personalvertretungsgesetzes/Mitarbeitervertretungsordnung/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Kirchengesetzes über die Mitarbeitervertretungen in der Evangelischen Kirche in Deutschland statt.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 Beschäftigtenvertretung hat uneingeschränkten Zugang z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C33A53">
        <w:rPr>
          <w:rFonts w:asciiTheme="minorHAnsi" w:hAnsiTheme="minorHAnsi" w:cstheme="minorHAnsi"/>
          <w:sz w:val="22"/>
          <w:szCs w:val="22"/>
        </w:rPr>
        <w:t>Internet und Intranet, sie verfügt über interne und externe E-Mail.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Der Beschäftigtenvertretung werden zwei dem aktuellen Standard entsprechende netzfähige Rechner sowie im erforderlichen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Maße technische Möglichkeiten zur netzunabhängigen Speicherung sensibler Daten gestellt.</w:t>
      </w:r>
    </w:p>
    <w:p w:rsidR="00C33A53" w:rsidRDefault="00C33A53" w:rsidP="00C33A5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C33A53" w:rsidRPr="00C33A53" w:rsidRDefault="00C33A53" w:rsidP="00C33A53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b/>
          <w:bCs/>
          <w:sz w:val="22"/>
          <w:szCs w:val="22"/>
        </w:rPr>
        <w:t>§ 14 Fortschreitung und -entwicklung dieser Dienstvereinbarung;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b/>
          <w:bCs/>
          <w:sz w:val="22"/>
          <w:szCs w:val="22"/>
        </w:rPr>
        <w:t>Beilegung von Meinungsverschiedenheiten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Dienststellenleitung und Beschäftigtenvertretung werden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jährlichen Abständen oder auf Antrag einer Seite eine Beratung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durchführen, die der Bewertung der gewonnenen Erfahrungen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dient. Dabei werden insbesondere die Themenkreise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technische Ausstattung der Arbeitsplätze (Hardware, Software),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Organisation und Struktur des Netzwerks,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Konsequenzen für die Qualifizierungsprogramme.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Übertragung von Teilsystemen auf weitere Einsatzbereiche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C33A53">
        <w:rPr>
          <w:rFonts w:asciiTheme="minorHAnsi" w:hAnsiTheme="minorHAnsi" w:cstheme="minorHAnsi"/>
          <w:sz w:val="22"/>
          <w:szCs w:val="22"/>
        </w:rPr>
        <w:t xml:space="preserve"> längerfristige Entwicklungstendenzen der eingesetzten Technik inklusive ihrer Personalauswirkungen erörtert. Hierzu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kann die Beschäftigtenvertretung Sachverständige ihrer Wahl</w:t>
      </w:r>
    </w:p>
    <w:p w:rsidR="00C33A53" w:rsidRPr="00C33A53" w:rsidRDefault="00C33A53" w:rsidP="00C33A53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hinzuzuziehen. Die Kosten trägt der Dienstherr.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Beschäftigtenvertretung und Dienststellenleitung verpflichten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sich, die in dieser Dienstvereinbarung festgeschriebenen Regelungen aufmerksam zu verfolgen und bei Bedarf fortzuschreiben. Der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Beschäftigtenvertretung und der Dienststellenleitung wird insoweit auch das Recht eingeräumt, bei Bedarf initiativ zu werden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und gegebenenfalls die Einigungsstelle anzurufen.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Bei nicht ausräumbaren Meinungsverschiedenheiten zwischen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Beschäftigtenvertretung und Dienstherr, die sich aus der Anwendung, Interpretation und Fortschreitung bzw. -entwicklung dieser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Dienstvereinbarung ergeben, kann die Einigungsstelle angerufen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3A53">
        <w:rPr>
          <w:rFonts w:asciiTheme="minorHAnsi" w:hAnsiTheme="minorHAnsi" w:cstheme="minorHAnsi"/>
          <w:sz w:val="22"/>
          <w:szCs w:val="22"/>
        </w:rPr>
        <w:t>werden.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Ort, Datum</w:t>
      </w: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</w:t>
      </w:r>
    </w:p>
    <w:p w:rsidR="00C33A53" w:rsidRPr="00C33A53" w:rsidRDefault="00C33A53" w:rsidP="00C33A53">
      <w:pPr>
        <w:pStyle w:val="p1"/>
        <w:rPr>
          <w:rFonts w:asciiTheme="minorHAnsi" w:hAnsiTheme="minorHAnsi" w:cstheme="minorHAnsi"/>
          <w:sz w:val="22"/>
          <w:szCs w:val="22"/>
        </w:rPr>
      </w:pPr>
      <w:r w:rsidRPr="00C33A53">
        <w:rPr>
          <w:rFonts w:asciiTheme="minorHAnsi" w:hAnsiTheme="minorHAnsi" w:cstheme="minorHAnsi"/>
          <w:sz w:val="22"/>
          <w:szCs w:val="22"/>
        </w:rPr>
        <w:t>Unterschriften</w:t>
      </w:r>
    </w:p>
    <w:p w:rsidR="00302C1D" w:rsidRPr="00C33A53" w:rsidRDefault="00302C1D" w:rsidP="00C33A53">
      <w:pPr>
        <w:rPr>
          <w:rFonts w:cstheme="minorHAnsi"/>
          <w:sz w:val="22"/>
          <w:szCs w:val="22"/>
        </w:rPr>
      </w:pPr>
    </w:p>
    <w:sectPr w:rsidR="00302C1D" w:rsidRPr="00C33A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25397F"/>
    <w:rsid w:val="00302C1D"/>
    <w:rsid w:val="0032644E"/>
    <w:rsid w:val="003F13E2"/>
    <w:rsid w:val="00572DD9"/>
    <w:rsid w:val="005E645B"/>
    <w:rsid w:val="007B7494"/>
    <w:rsid w:val="007C3C53"/>
    <w:rsid w:val="009C3F35"/>
    <w:rsid w:val="00B318FB"/>
    <w:rsid w:val="00C33A53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2801</Words>
  <Characters>21462</Characters>
  <Application>Microsoft Office Word</Application>
  <DocSecurity>0</DocSecurity>
  <Lines>357</Lines>
  <Paragraphs>111</Paragraphs>
  <ScaleCrop>false</ScaleCrop>
  <Company/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2025-07-16T13:02:00Z</dcterms:created>
  <dcterms:modified xsi:type="dcterms:W3CDTF">2025-07-16T13:02:00Z</dcterms:modified>
</cp:coreProperties>
</file>