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053" w:rsidRPr="00151053" w:rsidRDefault="00151053" w:rsidP="00151053">
      <w:pPr>
        <w:pStyle w:val="berschrift1"/>
        <w:rPr>
          <w:rFonts w:cstheme="majorHAnsi"/>
          <w:color w:val="000000" w:themeColor="text1"/>
        </w:rPr>
      </w:pPr>
      <w:proofErr w:type="spellStart"/>
      <w:r w:rsidRPr="00151053">
        <w:rPr>
          <w:rFonts w:cstheme="majorHAnsi"/>
          <w:color w:val="000000" w:themeColor="text1"/>
        </w:rPr>
        <w:t>Übersicht</w:t>
      </w:r>
      <w:proofErr w:type="spellEnd"/>
      <w:r w:rsidRPr="00151053">
        <w:rPr>
          <w:rFonts w:cstheme="majorHAnsi"/>
          <w:color w:val="000000" w:themeColor="text1"/>
        </w:rPr>
        <w:t xml:space="preserve">: </w:t>
      </w:r>
      <w:proofErr w:type="spellStart"/>
      <w:r w:rsidR="00000000" w:rsidRPr="00151053">
        <w:rPr>
          <w:rFonts w:cstheme="majorHAnsi"/>
          <w:color w:val="000000" w:themeColor="text1"/>
        </w:rPr>
        <w:t>Angebote</w:t>
      </w:r>
      <w:proofErr w:type="spellEnd"/>
      <w:r w:rsidR="00000000" w:rsidRPr="00151053">
        <w:rPr>
          <w:rFonts w:cstheme="majorHAnsi"/>
          <w:color w:val="000000" w:themeColor="text1"/>
        </w:rPr>
        <w:t xml:space="preserve"> des </w:t>
      </w:r>
      <w:proofErr w:type="spellStart"/>
      <w:r w:rsidR="00000000" w:rsidRPr="00151053">
        <w:rPr>
          <w:rFonts w:cstheme="majorHAnsi"/>
          <w:color w:val="000000" w:themeColor="text1"/>
        </w:rPr>
        <w:t>Integrationsamts</w:t>
      </w:r>
      <w:proofErr w:type="spellEnd"/>
      <w:r w:rsidR="00000000" w:rsidRPr="00151053">
        <w:rPr>
          <w:rFonts w:cstheme="majorHAnsi"/>
          <w:color w:val="000000" w:themeColor="text1"/>
        </w:rPr>
        <w:t xml:space="preserve"> und seiner </w:t>
      </w:r>
      <w:proofErr w:type="spellStart"/>
      <w:r w:rsidR="00000000" w:rsidRPr="00151053">
        <w:rPr>
          <w:rFonts w:cstheme="majorHAnsi"/>
          <w:color w:val="000000" w:themeColor="text1"/>
        </w:rPr>
        <w:t>Einrichtungen</w:t>
      </w:r>
      <w:proofErr w:type="spellEnd"/>
      <w:r>
        <w:rPr>
          <w:rFonts w:cstheme="majorHAnsi"/>
          <w:color w:val="000000" w:themeColor="text1"/>
        </w:rPr>
        <w:br/>
      </w:r>
    </w:p>
    <w:tbl>
      <w:tblPr>
        <w:tblStyle w:val="Tabellenraster"/>
        <w:tblW w:w="9606" w:type="dxa"/>
        <w:tblLook w:val="04A0" w:firstRow="1" w:lastRow="0" w:firstColumn="1" w:lastColumn="0" w:noHBand="0" w:noVBand="1"/>
      </w:tblPr>
      <w:tblGrid>
        <w:gridCol w:w="2802"/>
        <w:gridCol w:w="6804"/>
      </w:tblGrid>
      <w:tr w:rsidR="008E61E5" w:rsidRPr="00151053" w:rsidTr="00151053">
        <w:tc>
          <w:tcPr>
            <w:tcW w:w="2802" w:type="dxa"/>
          </w:tcPr>
          <w:p w:rsidR="008E61E5" w:rsidRPr="00151053" w:rsidRDefault="00000000" w:rsidP="00151053">
            <w:pPr>
              <w:spacing w:before="40" w:after="40"/>
              <w:rPr>
                <w:rFonts w:asciiTheme="majorHAnsi" w:hAnsiTheme="majorHAnsi" w:cstheme="majorHAnsi"/>
                <w:b/>
                <w:bCs/>
              </w:rPr>
            </w:pPr>
            <w:proofErr w:type="spellStart"/>
            <w:r w:rsidRPr="00151053">
              <w:rPr>
                <w:rFonts w:asciiTheme="majorHAnsi" w:hAnsiTheme="majorHAnsi" w:cstheme="majorHAnsi"/>
                <w:b/>
                <w:bCs/>
              </w:rPr>
              <w:t>Einrichtung</w:t>
            </w:r>
            <w:proofErr w:type="spellEnd"/>
          </w:p>
        </w:tc>
        <w:tc>
          <w:tcPr>
            <w:tcW w:w="6804" w:type="dxa"/>
          </w:tcPr>
          <w:p w:rsidR="008E61E5" w:rsidRPr="00151053" w:rsidRDefault="00000000" w:rsidP="00151053">
            <w:pPr>
              <w:spacing w:before="40" w:after="40"/>
              <w:rPr>
                <w:rFonts w:asciiTheme="majorHAnsi" w:hAnsiTheme="majorHAnsi" w:cstheme="majorHAnsi"/>
                <w:b/>
                <w:bCs/>
              </w:rPr>
            </w:pPr>
            <w:proofErr w:type="spellStart"/>
            <w:r w:rsidRPr="00151053">
              <w:rPr>
                <w:rFonts w:asciiTheme="majorHAnsi" w:hAnsiTheme="majorHAnsi" w:cstheme="majorHAnsi"/>
                <w:b/>
                <w:bCs/>
              </w:rPr>
              <w:t>Unterstützung</w:t>
            </w:r>
            <w:proofErr w:type="spellEnd"/>
            <w:r w:rsidRPr="00151053">
              <w:rPr>
                <w:rFonts w:asciiTheme="majorHAnsi" w:hAnsiTheme="majorHAnsi" w:cstheme="majorHAnsi"/>
                <w:b/>
                <w:bCs/>
              </w:rPr>
              <w:t xml:space="preserve"> und </w:t>
            </w:r>
            <w:proofErr w:type="spellStart"/>
            <w:r w:rsidRPr="00151053">
              <w:rPr>
                <w:rFonts w:asciiTheme="majorHAnsi" w:hAnsiTheme="majorHAnsi" w:cstheme="majorHAnsi"/>
                <w:b/>
                <w:bCs/>
              </w:rPr>
              <w:t>Aufgaben</w:t>
            </w:r>
            <w:proofErr w:type="spellEnd"/>
          </w:p>
        </w:tc>
      </w:tr>
      <w:tr w:rsidR="00151053" w:rsidRPr="00151053" w:rsidTr="00151053">
        <w:tc>
          <w:tcPr>
            <w:tcW w:w="2802" w:type="dxa"/>
            <w:vMerge w:val="restart"/>
          </w:tcPr>
          <w:p w:rsidR="00151053" w:rsidRPr="00151053" w:rsidRDefault="00151053" w:rsidP="00151053">
            <w:pPr>
              <w:spacing w:before="40" w:after="40"/>
              <w:rPr>
                <w:rFonts w:asciiTheme="majorHAnsi" w:hAnsiTheme="majorHAnsi" w:cstheme="majorHAnsi"/>
              </w:rPr>
            </w:pPr>
            <w:r w:rsidRPr="00151053">
              <w:rPr>
                <w:rFonts w:asciiTheme="majorHAnsi" w:hAnsiTheme="majorHAnsi" w:cstheme="majorHAnsi"/>
              </w:rPr>
              <w:t xml:space="preserve">Das </w:t>
            </w:r>
            <w:proofErr w:type="spellStart"/>
            <w:r w:rsidRPr="00151053">
              <w:rPr>
                <w:rFonts w:asciiTheme="majorHAnsi" w:hAnsiTheme="majorHAnsi" w:cstheme="majorHAnsi"/>
              </w:rPr>
              <w:t>Integrationsamt</w:t>
            </w:r>
            <w:proofErr w:type="spellEnd"/>
            <w:r w:rsidRPr="00151053">
              <w:rPr>
                <w:rFonts w:asciiTheme="majorHAnsi" w:hAnsiTheme="majorHAnsi" w:cstheme="majorHAnsi"/>
              </w:rPr>
              <w:t xml:space="preserve"> </w:t>
            </w:r>
            <w:proofErr w:type="spellStart"/>
            <w:r w:rsidRPr="00151053">
              <w:rPr>
                <w:rFonts w:asciiTheme="majorHAnsi" w:hAnsiTheme="majorHAnsi" w:cstheme="majorHAnsi"/>
              </w:rPr>
              <w:t>selbst</w:t>
            </w:r>
            <w:proofErr w:type="spellEnd"/>
          </w:p>
        </w:tc>
        <w:tc>
          <w:tcPr>
            <w:tcW w:w="6804" w:type="dxa"/>
          </w:tcPr>
          <w:p w:rsidR="00151053" w:rsidRPr="00151053" w:rsidRDefault="00151053" w:rsidP="00151053">
            <w:pPr>
              <w:spacing w:before="40" w:after="40"/>
              <w:rPr>
                <w:rFonts w:asciiTheme="majorHAnsi" w:hAnsiTheme="majorHAnsi" w:cstheme="majorHAnsi"/>
              </w:rPr>
            </w:pPr>
            <w:r w:rsidRPr="00151053">
              <w:rPr>
                <w:rFonts w:asciiTheme="majorHAnsi" w:hAnsiTheme="majorHAnsi" w:cstheme="majorHAnsi"/>
              </w:rPr>
              <w:t>Für Sie als Schwerbehindertenvertretung: Kurse, Publikationen, Rechtsberatung, Konfliktlösung, Netzwerke, Aufklärung der Betriebsleitung über ihre Pflichten, etwa bezüglich der Ausgleichsabgabe und der Beschäftigungspflicht. Das Integrationsamt hat seine Angebote, wie etwa Fortbildungen, vor allem auf die Schwerbehindertenvertretungen zugeschnitten. Bei diesen Veranstaltungen können Sie auch viel über die Förderung der Inklusion in den Unternehmen erfahren und sich tiefer in die Materie einarbeiten.</w:t>
            </w:r>
          </w:p>
        </w:tc>
      </w:tr>
      <w:tr w:rsidR="00151053" w:rsidRPr="00151053" w:rsidTr="00151053">
        <w:tc>
          <w:tcPr>
            <w:tcW w:w="2802" w:type="dxa"/>
            <w:vMerge/>
          </w:tcPr>
          <w:p w:rsidR="00151053" w:rsidRPr="00151053" w:rsidRDefault="00151053" w:rsidP="00151053">
            <w:pPr>
              <w:spacing w:before="40" w:after="40"/>
              <w:rPr>
                <w:rFonts w:asciiTheme="majorHAnsi" w:hAnsiTheme="majorHAnsi" w:cstheme="majorHAnsi"/>
              </w:rPr>
            </w:pPr>
          </w:p>
        </w:tc>
        <w:tc>
          <w:tcPr>
            <w:tcW w:w="6804" w:type="dxa"/>
          </w:tcPr>
          <w:p w:rsidR="00151053" w:rsidRPr="00151053" w:rsidRDefault="00151053" w:rsidP="00151053">
            <w:pPr>
              <w:spacing w:before="40" w:after="40"/>
              <w:rPr>
                <w:rFonts w:asciiTheme="majorHAnsi" w:hAnsiTheme="majorHAnsi" w:cstheme="majorHAnsi"/>
              </w:rPr>
            </w:pPr>
            <w:r w:rsidRPr="00151053">
              <w:rPr>
                <w:rFonts w:asciiTheme="majorHAnsi" w:hAnsiTheme="majorHAnsi" w:cstheme="majorHAnsi"/>
              </w:rPr>
              <w:t>Für schwerbehinderte Beschäftigte beispielsweise: Arbeitsassistenz, Berufliche Qualifizierung, Unterstützte Beschäftigung, Gebärdensprachdolmetscher.</w:t>
            </w:r>
          </w:p>
        </w:tc>
      </w:tr>
      <w:tr w:rsidR="00151053" w:rsidRPr="00151053" w:rsidTr="00151053">
        <w:tc>
          <w:tcPr>
            <w:tcW w:w="2802" w:type="dxa"/>
            <w:vMerge/>
          </w:tcPr>
          <w:p w:rsidR="00151053" w:rsidRPr="00151053" w:rsidRDefault="00151053" w:rsidP="00151053">
            <w:pPr>
              <w:spacing w:before="40" w:after="40"/>
              <w:rPr>
                <w:rFonts w:asciiTheme="majorHAnsi" w:hAnsiTheme="majorHAnsi" w:cstheme="majorHAnsi"/>
              </w:rPr>
            </w:pPr>
          </w:p>
        </w:tc>
        <w:tc>
          <w:tcPr>
            <w:tcW w:w="6804" w:type="dxa"/>
          </w:tcPr>
          <w:p w:rsidR="00151053" w:rsidRPr="00151053" w:rsidRDefault="00151053" w:rsidP="00151053">
            <w:pPr>
              <w:spacing w:before="40" w:after="40"/>
              <w:rPr>
                <w:rFonts w:asciiTheme="majorHAnsi" w:hAnsiTheme="majorHAnsi" w:cstheme="majorHAnsi"/>
              </w:rPr>
            </w:pPr>
            <w:r w:rsidRPr="00151053">
              <w:rPr>
                <w:rFonts w:asciiTheme="majorHAnsi" w:hAnsiTheme="majorHAnsi" w:cstheme="majorHAnsi"/>
              </w:rPr>
              <w:t>Für Arbeitgebende beispielsweise: Unterstützung durch die Schaffung neuer Arbeits- und Ausbildungsplätze, behinderungsgerechte Arbeitsplatzausstattung, Ausgleich bei außergewöhnlichen Belastungen. Aber auch: Einzug der Ausgleichsabgabe, Zustimmung zu Kündigungen oder deren Verweigerung.</w:t>
            </w:r>
          </w:p>
        </w:tc>
      </w:tr>
      <w:tr w:rsidR="008E61E5" w:rsidRPr="00151053" w:rsidTr="00151053">
        <w:tc>
          <w:tcPr>
            <w:tcW w:w="2802"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 xml:space="preserve">Der </w:t>
            </w:r>
            <w:proofErr w:type="spellStart"/>
            <w:r w:rsidRPr="00151053">
              <w:rPr>
                <w:rFonts w:asciiTheme="majorHAnsi" w:hAnsiTheme="majorHAnsi" w:cstheme="majorHAnsi"/>
              </w:rPr>
              <w:t>Integrationsfachdienst</w:t>
            </w:r>
            <w:proofErr w:type="spellEnd"/>
          </w:p>
        </w:tc>
        <w:tc>
          <w:tcPr>
            <w:tcW w:w="6804"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Die Integrationsfachdienste werden von den Integrationsämtern zur Begleitung und Betreuung schwerbehinderter Arbeitnehmender beauftragt. Die Leistungen umfassen etwa die psychosoziale Beratung, Begleitung am Arbeitsplatz, Hilfen zur Einarbeitung, Konfliktlösungen.</w:t>
            </w:r>
          </w:p>
        </w:tc>
      </w:tr>
      <w:tr w:rsidR="008E61E5" w:rsidRPr="00151053" w:rsidTr="00151053">
        <w:tc>
          <w:tcPr>
            <w:tcW w:w="2802"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Einheitliche Ansprechstellen bei den Integrationsämtern</w:t>
            </w:r>
          </w:p>
        </w:tc>
        <w:tc>
          <w:tcPr>
            <w:tcW w:w="6804"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Die einheitlichen Ansprechstellen wurden neu geschaffen, und zwar speziell, um die Arbeitgebenden bei der Ausbildung, Einstellung und Beschäftigung von schwerbehinderten Menschen zu informieren, zu beraten und zu unterstützen. Sie dienen als trägerunabhängige Lotsen. Sie unterstützen die Arbeitgebenden sogar bei der Stellung von Anträgen bei den zuständigen Leistungsträgern und entlasten damit gleichzeitig Sie als Vertrauensperson. Die Ansprechstellen sollen für Arbeitgebende schnell zu erreichen und in der Region gut vernetzt sein. Sie sind von den Integrationsämtern flächendeckend eingerichtet worden.</w:t>
            </w:r>
          </w:p>
        </w:tc>
      </w:tr>
      <w:tr w:rsidR="008E61E5" w:rsidRPr="00151053" w:rsidTr="00151053">
        <w:tc>
          <w:tcPr>
            <w:tcW w:w="2802"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Der Technische Beratungsdienst bei den Integrationsämtern</w:t>
            </w:r>
          </w:p>
        </w:tc>
        <w:tc>
          <w:tcPr>
            <w:tcW w:w="6804" w:type="dxa"/>
          </w:tcPr>
          <w:p w:rsidR="008E61E5" w:rsidRPr="00151053" w:rsidRDefault="00000000" w:rsidP="00151053">
            <w:pPr>
              <w:spacing w:before="40" w:after="40"/>
              <w:rPr>
                <w:rFonts w:asciiTheme="majorHAnsi" w:hAnsiTheme="majorHAnsi" w:cstheme="majorHAnsi"/>
              </w:rPr>
            </w:pPr>
            <w:r w:rsidRPr="00151053">
              <w:rPr>
                <w:rFonts w:asciiTheme="majorHAnsi" w:hAnsiTheme="majorHAnsi" w:cstheme="majorHAnsi"/>
              </w:rPr>
              <w:t>Die Technischen Beratungsdienste der Integrationsämter unterstützen bei der behindertengerechten Ausstattung neuer oder vorhandener Arbeitsplätze. Ihre Leistungen umfassen etwa die Beratung vor Ort, behindertengerechte Arbeitsplatzgestaltung, technische Arbeitshilfen, organisatorische Lösungen.</w:t>
            </w:r>
          </w:p>
        </w:tc>
      </w:tr>
    </w:tbl>
    <w:p w:rsidR="00F44E71" w:rsidRPr="00151053" w:rsidRDefault="00F44E71">
      <w:pPr>
        <w:rPr>
          <w:rFonts w:asciiTheme="majorHAnsi" w:hAnsiTheme="majorHAnsi" w:cstheme="majorHAnsi"/>
        </w:rPr>
      </w:pPr>
    </w:p>
    <w:sectPr w:rsidR="00F44E71" w:rsidRPr="00151053" w:rsidSect="00151053">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49048349">
    <w:abstractNumId w:val="8"/>
  </w:num>
  <w:num w:numId="2" w16cid:durableId="1281837064">
    <w:abstractNumId w:val="6"/>
  </w:num>
  <w:num w:numId="3" w16cid:durableId="1138841894">
    <w:abstractNumId w:val="5"/>
  </w:num>
  <w:num w:numId="4" w16cid:durableId="776296232">
    <w:abstractNumId w:val="4"/>
  </w:num>
  <w:num w:numId="5" w16cid:durableId="1709330752">
    <w:abstractNumId w:val="7"/>
  </w:num>
  <w:num w:numId="6" w16cid:durableId="1292789043">
    <w:abstractNumId w:val="3"/>
  </w:num>
  <w:num w:numId="7" w16cid:durableId="1866556960">
    <w:abstractNumId w:val="2"/>
  </w:num>
  <w:num w:numId="8" w16cid:durableId="170685226">
    <w:abstractNumId w:val="1"/>
  </w:num>
  <w:num w:numId="9" w16cid:durableId="194603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053"/>
    <w:rsid w:val="0029639D"/>
    <w:rsid w:val="00326F90"/>
    <w:rsid w:val="007B7494"/>
    <w:rsid w:val="008E61E5"/>
    <w:rsid w:val="00AA1D8D"/>
    <w:rsid w:val="00B47730"/>
    <w:rsid w:val="00CB0664"/>
    <w:rsid w:val="00F44E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51263"/>
  <w14:defaultImageDpi w14:val="300"/>
  <w15:docId w15:val="{70FA1EA9-517C-C142-8565-6E8013F7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2122</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Anja Lehmann</cp:lastModifiedBy>
  <cp:revision>2</cp:revision>
  <dcterms:created xsi:type="dcterms:W3CDTF">2025-07-18T10:19:00Z</dcterms:created>
  <dcterms:modified xsi:type="dcterms:W3CDTF">2025-07-18T10:19:00Z</dcterms:modified>
  <cp:category/>
</cp:coreProperties>
</file>