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B895" w14:textId="77777777" w:rsidR="00A81737" w:rsidRPr="00A81737" w:rsidRDefault="00A81737" w:rsidP="00A81737">
      <w:pPr>
        <w:rPr>
          <w:b/>
          <w:bCs/>
        </w:rPr>
      </w:pPr>
      <w:r w:rsidRPr="00A81737">
        <w:rPr>
          <w:b/>
          <w:bCs/>
        </w:rPr>
        <w:t>Stellvertreter der Vertrauensperson: Das sind die wichtigsten Aspekte in Kürze</w:t>
      </w:r>
    </w:p>
    <w:p w14:paraId="06EAE707" w14:textId="77777777" w:rsidR="00A81737" w:rsidRPr="00A81737" w:rsidRDefault="00A81737" w:rsidP="00A81737"/>
    <w:tbl>
      <w:tblPr>
        <w:tblStyle w:val="Tabellenraster"/>
        <w:tblW w:w="8784" w:type="dxa"/>
        <w:tblLayout w:type="fixed"/>
        <w:tblLook w:val="04A0" w:firstRow="1" w:lastRow="0" w:firstColumn="1" w:lastColumn="0" w:noHBand="0" w:noVBand="1"/>
      </w:tblPr>
      <w:tblGrid>
        <w:gridCol w:w="1555"/>
        <w:gridCol w:w="3827"/>
        <w:gridCol w:w="3402"/>
      </w:tblGrid>
      <w:tr w:rsidR="00A81737" w:rsidRPr="00A81737" w14:paraId="1F1F82C6" w14:textId="77777777" w:rsidTr="00AF510F">
        <w:tc>
          <w:tcPr>
            <w:tcW w:w="1555" w:type="dxa"/>
          </w:tcPr>
          <w:p w14:paraId="7CADA22C" w14:textId="77777777" w:rsidR="00A81737" w:rsidRPr="00A81737" w:rsidRDefault="00A81737" w:rsidP="00A81737">
            <w:pPr>
              <w:rPr>
                <w:b/>
                <w:bCs/>
              </w:rPr>
            </w:pPr>
            <w:r w:rsidRPr="00A81737">
              <w:rPr>
                <w:b/>
                <w:bCs/>
              </w:rPr>
              <w:t>Thema</w:t>
            </w:r>
          </w:p>
        </w:tc>
        <w:tc>
          <w:tcPr>
            <w:tcW w:w="3827" w:type="dxa"/>
          </w:tcPr>
          <w:p w14:paraId="2C337FC0" w14:textId="77777777" w:rsidR="00A81737" w:rsidRPr="00A81737" w:rsidRDefault="00A81737" w:rsidP="00A81737">
            <w:pPr>
              <w:rPr>
                <w:b/>
                <w:bCs/>
              </w:rPr>
            </w:pPr>
            <w:r w:rsidRPr="00A81737">
              <w:rPr>
                <w:b/>
                <w:bCs/>
              </w:rPr>
              <w:t>Darum geht es konkret</w:t>
            </w:r>
          </w:p>
        </w:tc>
        <w:tc>
          <w:tcPr>
            <w:tcW w:w="3402" w:type="dxa"/>
          </w:tcPr>
          <w:p w14:paraId="4EB8B5B3" w14:textId="77777777" w:rsidR="00A81737" w:rsidRPr="00A81737" w:rsidRDefault="00A81737" w:rsidP="00A81737">
            <w:pPr>
              <w:rPr>
                <w:b/>
                <w:bCs/>
              </w:rPr>
            </w:pPr>
            <w:r w:rsidRPr="00A81737">
              <w:rPr>
                <w:b/>
                <w:bCs/>
              </w:rPr>
              <w:t xml:space="preserve">Das ist besonders zu beachten </w:t>
            </w:r>
          </w:p>
        </w:tc>
      </w:tr>
      <w:tr w:rsidR="00A81737" w:rsidRPr="00A81737" w14:paraId="623C0AF7" w14:textId="77777777" w:rsidTr="00AF510F">
        <w:tc>
          <w:tcPr>
            <w:tcW w:w="1555" w:type="dxa"/>
          </w:tcPr>
          <w:p w14:paraId="16E8AB3E" w14:textId="77777777" w:rsidR="00A81737" w:rsidRPr="00A81737" w:rsidRDefault="00A81737" w:rsidP="00A81737">
            <w:r w:rsidRPr="00A81737">
              <w:rPr>
                <w:b/>
                <w:bCs/>
              </w:rPr>
              <w:t xml:space="preserve">Organisatorisches nach der Wahl </w:t>
            </w:r>
          </w:p>
        </w:tc>
        <w:tc>
          <w:tcPr>
            <w:tcW w:w="3827" w:type="dxa"/>
          </w:tcPr>
          <w:p w14:paraId="76FE1DAC" w14:textId="77777777" w:rsidR="00A81737" w:rsidRPr="00A81737" w:rsidRDefault="00A81737" w:rsidP="00A81737">
            <w:r w:rsidRPr="00A81737">
              <w:t xml:space="preserve">Die Zahl der Stellvertreter wird vom Wahlvorstand oder der Wahlversammlung festgesetzt. Wurden mehrere stellvertretende Mitglieder gewählt, ist als zweites stellvertretendes Mitglied der Bewerber mit der zweithöchsten Stimmenzahl gewählt. Entsprechendes gilt für die Wahl weiterer stellvertretender Mitglieder. Die Amtszeit eines zeitgleich mit Ihnen gewählten Stellvertreters beginnt mit Ihrer und dauert genauso lange. </w:t>
            </w:r>
          </w:p>
        </w:tc>
        <w:tc>
          <w:tcPr>
            <w:tcW w:w="3402" w:type="dxa"/>
          </w:tcPr>
          <w:p w14:paraId="0DC53983" w14:textId="77777777" w:rsidR="00A81737" w:rsidRPr="00A81737" w:rsidRDefault="00A81737" w:rsidP="00A81737">
            <w:r w:rsidRPr="00A81737">
              <w:t xml:space="preserve">Auch das Wahlergebnis mit den Namen der stellvertretenden Mitglieder muss der Wahlvorstand durch zweiwöchigen Aushang in gleicher Weise wie das Wahlausschreiben bekannt machen sowie unverzüglich dem Arbeitgeber und dem Betriebsrat bzw. Personalrat mitteilen (§ 15 Wahlordnung Schwerbehindertenvertretungen, </w:t>
            </w:r>
            <w:proofErr w:type="spellStart"/>
            <w:r w:rsidRPr="00A81737">
              <w:t>SchwbVWO</w:t>
            </w:r>
            <w:proofErr w:type="spellEnd"/>
            <w:r w:rsidRPr="00A81737">
              <w:t xml:space="preserve">). </w:t>
            </w:r>
          </w:p>
        </w:tc>
      </w:tr>
      <w:tr w:rsidR="00A81737" w:rsidRPr="00A81737" w14:paraId="2D8F7602" w14:textId="77777777" w:rsidTr="00AF510F">
        <w:tc>
          <w:tcPr>
            <w:tcW w:w="1555" w:type="dxa"/>
          </w:tcPr>
          <w:p w14:paraId="347D7E4C" w14:textId="77777777" w:rsidR="00A81737" w:rsidRPr="00A81737" w:rsidRDefault="00A81737" w:rsidP="00A81737">
            <w:r w:rsidRPr="00A81737">
              <w:rPr>
                <w:b/>
                <w:bCs/>
              </w:rPr>
              <w:t xml:space="preserve">Die Nachwahl </w:t>
            </w:r>
          </w:p>
        </w:tc>
        <w:tc>
          <w:tcPr>
            <w:tcW w:w="3827" w:type="dxa"/>
          </w:tcPr>
          <w:p w14:paraId="4D62F7E9" w14:textId="77777777" w:rsidR="00A81737" w:rsidRPr="00A81737" w:rsidRDefault="00A81737" w:rsidP="00A81737">
            <w:r w:rsidRPr="00A81737">
              <w:t xml:space="preserve">Eine Nachwahl ist möglich und nötig, wenn noch gar kein Stellvertreter gewählt wurde oder keiner mehr existiert. Das regelt die </w:t>
            </w:r>
            <w:proofErr w:type="spellStart"/>
            <w:r w:rsidRPr="00A81737">
              <w:t>SchwbVWO</w:t>
            </w:r>
            <w:proofErr w:type="spellEnd"/>
            <w:r w:rsidRPr="00A81737">
              <w:t xml:space="preserve"> in den §§ 17 und 21. Die Nachwahl muss bei Fehlen jeglicher Stellvertreter so schnell wie möglich erfolgen. </w:t>
            </w:r>
          </w:p>
        </w:tc>
        <w:tc>
          <w:tcPr>
            <w:tcW w:w="3402" w:type="dxa"/>
          </w:tcPr>
          <w:p w14:paraId="68CD785D" w14:textId="77777777" w:rsidR="00A81737" w:rsidRPr="00A81737" w:rsidRDefault="00A81737" w:rsidP="00A81737">
            <w:r w:rsidRPr="00A81737">
              <w:t xml:space="preserve">Bleibt die Nachwahl ergebnislos, gibt es wiederum keinen Stellvertreter. Das ist zwar ungünstig, weil Ihr Unternehmen bei Ihrer Verhinderung faktisch ohne Schwerbehindertenvertretung ist, auf Ihre Wahl als Vertrauensperson hat das aber keinen Einfluss. </w:t>
            </w:r>
          </w:p>
        </w:tc>
      </w:tr>
      <w:tr w:rsidR="00A81737" w:rsidRPr="00A81737" w14:paraId="11921690" w14:textId="77777777" w:rsidTr="00AF510F">
        <w:tc>
          <w:tcPr>
            <w:tcW w:w="1555" w:type="dxa"/>
          </w:tcPr>
          <w:p w14:paraId="73AEE59E" w14:textId="77777777" w:rsidR="00A81737" w:rsidRPr="00A81737" w:rsidRDefault="00A81737" w:rsidP="00A81737">
            <w:r w:rsidRPr="00A81737">
              <w:rPr>
                <w:b/>
                <w:bCs/>
              </w:rPr>
              <w:t>Der Vertretungsfall</w:t>
            </w:r>
          </w:p>
        </w:tc>
        <w:tc>
          <w:tcPr>
            <w:tcW w:w="3827" w:type="dxa"/>
          </w:tcPr>
          <w:p w14:paraId="17ABD5C3" w14:textId="77777777" w:rsidR="00A81737" w:rsidRPr="00A81737" w:rsidRDefault="00A81737" w:rsidP="00A81737">
            <w:r w:rsidRPr="00A81737">
              <w:t xml:space="preserve">Im Fall Ihrer Verhinderung vertritt der Stellvertreter Sie in sämtlichen Angelegenheiten, in denen Sie ohne Verhinderung tätig wären. Eine Verhinderung liegt insbesondere in den folgenden Fällen vor, wenn Sie im Urlaub oder bei einer Fortbildung sind, wenn Sie arbeitsunfähig krank sind oder wenn Sie zwar im Unternehmen anwesend, aber durch andere Aufgaben verhindert sind. </w:t>
            </w:r>
          </w:p>
        </w:tc>
        <w:tc>
          <w:tcPr>
            <w:tcW w:w="3402" w:type="dxa"/>
          </w:tcPr>
          <w:p w14:paraId="36345AF4" w14:textId="77777777" w:rsidR="00A81737" w:rsidRPr="00A81737" w:rsidRDefault="00A81737" w:rsidP="00A81737">
            <w:r w:rsidRPr="00A81737">
              <w:t xml:space="preserve">Damit der Vertreter arbeiten kann, müssen Sie Informationen mit ihm austauschen. Dabei gilt es allerdings Vertraulichkeitsabsprachen zwischen Ihnen und einzelnen betreuten Kollegen zu beachten. Entsprechende Informationen dürfen Sie nicht einfach so an die Stellvertretung weiterleiten. Holen Sie hierfür eine ausdrückliche Genehmigung des Betroffenen ein! </w:t>
            </w:r>
          </w:p>
        </w:tc>
      </w:tr>
      <w:tr w:rsidR="00A81737" w:rsidRPr="00A81737" w14:paraId="0B5095F8" w14:textId="77777777" w:rsidTr="00AF510F">
        <w:tc>
          <w:tcPr>
            <w:tcW w:w="1555" w:type="dxa"/>
          </w:tcPr>
          <w:p w14:paraId="2C785693" w14:textId="77777777" w:rsidR="00A81737" w:rsidRPr="00A81737" w:rsidRDefault="00A81737" w:rsidP="00A81737">
            <w:r w:rsidRPr="00A81737">
              <w:rPr>
                <w:b/>
                <w:bCs/>
              </w:rPr>
              <w:t xml:space="preserve">Die Heranziehung </w:t>
            </w:r>
          </w:p>
        </w:tc>
        <w:tc>
          <w:tcPr>
            <w:tcW w:w="3827" w:type="dxa"/>
          </w:tcPr>
          <w:p w14:paraId="1F9E0B17" w14:textId="77777777" w:rsidR="00A81737" w:rsidRPr="00A81737" w:rsidRDefault="00A81737" w:rsidP="00A81737">
            <w:r w:rsidRPr="00A81737">
              <w:t xml:space="preserve">Stellvertreter zu bestimmten Aufgaben heranzuziehen, ist möglich, wenn Ihr Unternehmen in der Regel mehr als 100 schwerbehinderte Menschen </w:t>
            </w:r>
            <w:r w:rsidRPr="00A81737">
              <w:lastRenderedPageBreak/>
              <w:t>beschäftigt (§ 178 SGB IX). Arbeiten in Ihrem Unternehmen mehr als 200 schwerbehinderte Mitarbeiter, können Sie einen weiteren Stellvertreter verpflichten, etc.</w:t>
            </w:r>
          </w:p>
        </w:tc>
        <w:tc>
          <w:tcPr>
            <w:tcW w:w="3402" w:type="dxa"/>
          </w:tcPr>
          <w:p w14:paraId="0D1C21FD" w14:textId="77777777" w:rsidR="00A81737" w:rsidRPr="00A81737" w:rsidRDefault="00A81737" w:rsidP="00A81737">
            <w:r w:rsidRPr="00A81737">
              <w:lastRenderedPageBreak/>
              <w:t xml:space="preserve">Der Arbeitgeber ist von der Heranziehung zwar zu unterrichten, Sie benötigen aber nicht seine Zustimmung </w:t>
            </w:r>
            <w:r w:rsidRPr="00A81737">
              <w:lastRenderedPageBreak/>
              <w:t xml:space="preserve">für den Einsatz Ihrer Stellvertretung. </w:t>
            </w:r>
          </w:p>
        </w:tc>
      </w:tr>
      <w:tr w:rsidR="00A81737" w:rsidRPr="00A81737" w14:paraId="0A0E8BD4" w14:textId="77777777" w:rsidTr="00AF510F">
        <w:tc>
          <w:tcPr>
            <w:tcW w:w="1555" w:type="dxa"/>
          </w:tcPr>
          <w:p w14:paraId="2D960145" w14:textId="77777777" w:rsidR="00A81737" w:rsidRPr="00A81737" w:rsidRDefault="00A81737" w:rsidP="00A81737">
            <w:r w:rsidRPr="00A81737">
              <w:rPr>
                <w:b/>
                <w:bCs/>
              </w:rPr>
              <w:lastRenderedPageBreak/>
              <w:t xml:space="preserve">Schulungsansprüche </w:t>
            </w:r>
          </w:p>
        </w:tc>
        <w:tc>
          <w:tcPr>
            <w:tcW w:w="3827" w:type="dxa"/>
          </w:tcPr>
          <w:p w14:paraId="6EBB740D" w14:textId="77777777" w:rsidR="00A81737" w:rsidRPr="00A81737" w:rsidRDefault="00A81737" w:rsidP="00A81737">
            <w:r w:rsidRPr="00A81737">
              <w:t xml:space="preserve">Zumindest Ihr erster Stellvertreter hat denselben Schulungsanspruch wie Sie. Falls es nötig ist und es etwa viele Heranziehungsfälle gibt oder häufige Vertretungsfälle erwartbar sind, dürfen Sie auch weitere Vertreter auf Schulungen schicken.  </w:t>
            </w:r>
          </w:p>
        </w:tc>
        <w:tc>
          <w:tcPr>
            <w:tcW w:w="3402" w:type="dxa"/>
          </w:tcPr>
          <w:p w14:paraId="28601B93" w14:textId="77777777" w:rsidR="00A81737" w:rsidRPr="00A81737" w:rsidRDefault="00A81737" w:rsidP="00A81737">
            <w:r w:rsidRPr="00A81737">
              <w:t xml:space="preserve">Sie haben in eigener Verantwortung zu prüfen, ob die Schulung für Ihren Stellvertreter erforderlich ist. Nur dann muss der Arbeitgeber die Fortbildung bezahlen. </w:t>
            </w:r>
          </w:p>
        </w:tc>
      </w:tr>
      <w:tr w:rsidR="00A81737" w:rsidRPr="00A81737" w14:paraId="20A525EE" w14:textId="77777777" w:rsidTr="00AF510F">
        <w:tc>
          <w:tcPr>
            <w:tcW w:w="1555" w:type="dxa"/>
          </w:tcPr>
          <w:p w14:paraId="6B170B0C" w14:textId="77777777" w:rsidR="00A81737" w:rsidRPr="00A81737" w:rsidRDefault="00A81737" w:rsidP="00A81737">
            <w:pPr>
              <w:rPr>
                <w:b/>
                <w:bCs/>
              </w:rPr>
            </w:pPr>
            <w:r w:rsidRPr="00A81737">
              <w:rPr>
                <w:b/>
                <w:bCs/>
              </w:rPr>
              <w:t xml:space="preserve">Kündigungsschutz </w:t>
            </w:r>
          </w:p>
        </w:tc>
        <w:tc>
          <w:tcPr>
            <w:tcW w:w="3827" w:type="dxa"/>
          </w:tcPr>
          <w:p w14:paraId="6E0FACB0" w14:textId="77777777" w:rsidR="00A81737" w:rsidRPr="00A81737" w:rsidRDefault="00A81737" w:rsidP="00A81737">
            <w:r w:rsidRPr="00A81737">
              <w:t xml:space="preserve">Ab dem ersten Einsatz (Vertretung oder Heranziehung) hat ein Stellvertreter denselben besonderen Kündigungsschutz wie Sie als Vertrauensperson. </w:t>
            </w:r>
          </w:p>
        </w:tc>
        <w:tc>
          <w:tcPr>
            <w:tcW w:w="3402" w:type="dxa"/>
          </w:tcPr>
          <w:p w14:paraId="6A60DA57" w14:textId="77777777" w:rsidR="00A81737" w:rsidRPr="00A81737" w:rsidRDefault="00A81737" w:rsidP="00A81737">
            <w:r w:rsidRPr="00A81737">
              <w:t xml:space="preserve">Der Kündigungsschutz wirkt nach Ende des Ende des Einsatzes nach. </w:t>
            </w:r>
          </w:p>
        </w:tc>
      </w:tr>
    </w:tbl>
    <w:p w14:paraId="770D180A" w14:textId="77777777" w:rsidR="006B17A9" w:rsidRDefault="006B17A9"/>
    <w:sectPr w:rsidR="006B17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37"/>
    <w:rsid w:val="00075F9A"/>
    <w:rsid w:val="002F61FD"/>
    <w:rsid w:val="006B17A9"/>
    <w:rsid w:val="007C223D"/>
    <w:rsid w:val="00A81737"/>
    <w:rsid w:val="00EF1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3BDBF84"/>
  <w15:chartTrackingRefBased/>
  <w15:docId w15:val="{8C516878-DE80-C749-8E7E-0667F699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1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81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8173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8173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8173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8173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173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173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173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173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8173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8173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8173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8173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8173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173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173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1737"/>
    <w:rPr>
      <w:rFonts w:eastAsiaTheme="majorEastAsia" w:cstheme="majorBidi"/>
      <w:color w:val="272727" w:themeColor="text1" w:themeTint="D8"/>
    </w:rPr>
  </w:style>
  <w:style w:type="paragraph" w:styleId="Titel">
    <w:name w:val="Title"/>
    <w:basedOn w:val="Standard"/>
    <w:next w:val="Standard"/>
    <w:link w:val="TitelZchn"/>
    <w:uiPriority w:val="10"/>
    <w:qFormat/>
    <w:rsid w:val="00A8173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173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173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173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173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81737"/>
    <w:rPr>
      <w:i/>
      <w:iCs/>
      <w:color w:val="404040" w:themeColor="text1" w:themeTint="BF"/>
    </w:rPr>
  </w:style>
  <w:style w:type="paragraph" w:styleId="Listenabsatz">
    <w:name w:val="List Paragraph"/>
    <w:basedOn w:val="Standard"/>
    <w:uiPriority w:val="34"/>
    <w:qFormat/>
    <w:rsid w:val="00A81737"/>
    <w:pPr>
      <w:ind w:left="720"/>
      <w:contextualSpacing/>
    </w:pPr>
  </w:style>
  <w:style w:type="character" w:styleId="IntensiveHervorhebung">
    <w:name w:val="Intense Emphasis"/>
    <w:basedOn w:val="Absatz-Standardschriftart"/>
    <w:uiPriority w:val="21"/>
    <w:qFormat/>
    <w:rsid w:val="00A81737"/>
    <w:rPr>
      <w:i/>
      <w:iCs/>
      <w:color w:val="0F4761" w:themeColor="accent1" w:themeShade="BF"/>
    </w:rPr>
  </w:style>
  <w:style w:type="paragraph" w:styleId="IntensivesZitat">
    <w:name w:val="Intense Quote"/>
    <w:basedOn w:val="Standard"/>
    <w:next w:val="Standard"/>
    <w:link w:val="IntensivesZitatZchn"/>
    <w:uiPriority w:val="30"/>
    <w:qFormat/>
    <w:rsid w:val="00A81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81737"/>
    <w:rPr>
      <w:i/>
      <w:iCs/>
      <w:color w:val="0F4761" w:themeColor="accent1" w:themeShade="BF"/>
    </w:rPr>
  </w:style>
  <w:style w:type="character" w:styleId="IntensiverVerweis">
    <w:name w:val="Intense Reference"/>
    <w:basedOn w:val="Absatz-Standardschriftart"/>
    <w:uiPriority w:val="32"/>
    <w:qFormat/>
    <w:rsid w:val="00A81737"/>
    <w:rPr>
      <w:b/>
      <w:bCs/>
      <w:smallCaps/>
      <w:color w:val="0F4761" w:themeColor="accent1" w:themeShade="BF"/>
      <w:spacing w:val="5"/>
    </w:rPr>
  </w:style>
  <w:style w:type="table" w:styleId="Tabellenraster">
    <w:name w:val="Table Grid"/>
    <w:basedOn w:val="NormaleTabelle"/>
    <w:uiPriority w:val="39"/>
    <w:rsid w:val="00A81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2856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deinzer.grafik</dc:creator>
  <cp:keywords/>
  <dc:description/>
  <cp:lastModifiedBy>deinzer.grafik</cp:lastModifiedBy>
  <cp:revision>1</cp:revision>
  <dcterms:created xsi:type="dcterms:W3CDTF">2025-07-15T08:18:00Z</dcterms:created>
  <dcterms:modified xsi:type="dcterms:W3CDTF">2025-07-15T08:19:00Z</dcterms:modified>
</cp:coreProperties>
</file>