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370E" w14:textId="643BF716" w:rsidR="00DD3FDB" w:rsidRDefault="00DD3FDB" w:rsidP="00DD3FDB">
      <w:pPr>
        <w:ind w:firstLine="0"/>
      </w:pPr>
      <w:r>
        <w:t>Checkliste</w:t>
      </w:r>
      <w:r w:rsidR="005E457E">
        <w:t>: W</w:t>
      </w:r>
      <w:r>
        <w:t xml:space="preserve">ichtige Fristen in der Arbeitsgerichtsbarkeit </w:t>
      </w:r>
    </w:p>
    <w:tbl>
      <w:tblPr>
        <w:tblStyle w:val="Tabellenraster"/>
        <w:tblW w:w="0" w:type="auto"/>
        <w:tblLook w:val="04A0" w:firstRow="1" w:lastRow="0" w:firstColumn="1" w:lastColumn="0" w:noHBand="0" w:noVBand="1"/>
      </w:tblPr>
      <w:tblGrid>
        <w:gridCol w:w="2478"/>
        <w:gridCol w:w="4677"/>
        <w:gridCol w:w="953"/>
        <w:gridCol w:w="954"/>
      </w:tblGrid>
      <w:tr w:rsidR="005E457E" w14:paraId="794BF42D" w14:textId="6BF1BAB0" w:rsidTr="005E457E">
        <w:tc>
          <w:tcPr>
            <w:tcW w:w="2478" w:type="dxa"/>
            <w:vMerge w:val="restart"/>
          </w:tcPr>
          <w:p w14:paraId="04F5F1FA" w14:textId="77777777" w:rsidR="005E457E" w:rsidRPr="000B5B9C" w:rsidRDefault="005E457E" w:rsidP="00E84CC6">
            <w:pPr>
              <w:rPr>
                <w:b/>
                <w:bCs/>
              </w:rPr>
            </w:pPr>
            <w:r w:rsidRPr="000B5B9C">
              <w:rPr>
                <w:b/>
                <w:bCs/>
              </w:rPr>
              <w:t>Bezeichnung der Frist</w:t>
            </w:r>
          </w:p>
        </w:tc>
        <w:tc>
          <w:tcPr>
            <w:tcW w:w="4677" w:type="dxa"/>
            <w:vMerge w:val="restart"/>
          </w:tcPr>
          <w:p w14:paraId="6A50A7C9" w14:textId="77777777" w:rsidR="005E457E" w:rsidRPr="000B5B9C" w:rsidRDefault="005E457E" w:rsidP="00E84CC6">
            <w:pPr>
              <w:rPr>
                <w:b/>
                <w:bCs/>
              </w:rPr>
            </w:pPr>
            <w:r w:rsidRPr="000B5B9C">
              <w:rPr>
                <w:b/>
                <w:bCs/>
              </w:rPr>
              <w:t>Inhalt der Frist</w:t>
            </w:r>
          </w:p>
        </w:tc>
        <w:tc>
          <w:tcPr>
            <w:tcW w:w="1907" w:type="dxa"/>
            <w:gridSpan w:val="2"/>
            <w:tcBorders>
              <w:bottom w:val="nil"/>
            </w:tcBorders>
          </w:tcPr>
          <w:p w14:paraId="3393DF8F" w14:textId="1EF5DD06" w:rsidR="005E457E" w:rsidRPr="000B5B9C" w:rsidRDefault="005E457E" w:rsidP="005E457E">
            <w:pPr>
              <w:jc w:val="center"/>
              <w:rPr>
                <w:b/>
                <w:bCs/>
              </w:rPr>
            </w:pPr>
            <w:r w:rsidRPr="000B5B9C">
              <w:rPr>
                <w:b/>
                <w:bCs/>
              </w:rPr>
              <w:t>Frist gecheckt</w:t>
            </w:r>
            <w:r>
              <w:rPr>
                <w:b/>
                <w:bCs/>
              </w:rPr>
              <w:t>:</w:t>
            </w:r>
          </w:p>
        </w:tc>
      </w:tr>
      <w:tr w:rsidR="005E457E" w14:paraId="497C6DAC" w14:textId="77777777" w:rsidTr="005E457E">
        <w:tc>
          <w:tcPr>
            <w:tcW w:w="2478" w:type="dxa"/>
            <w:vMerge/>
          </w:tcPr>
          <w:p w14:paraId="058AD4CE" w14:textId="77777777" w:rsidR="005E457E" w:rsidRPr="000B5B9C" w:rsidRDefault="005E457E" w:rsidP="00E84CC6">
            <w:pPr>
              <w:rPr>
                <w:b/>
                <w:bCs/>
              </w:rPr>
            </w:pPr>
          </w:p>
        </w:tc>
        <w:tc>
          <w:tcPr>
            <w:tcW w:w="4677" w:type="dxa"/>
            <w:vMerge/>
          </w:tcPr>
          <w:p w14:paraId="3A129736" w14:textId="77777777" w:rsidR="005E457E" w:rsidRPr="000B5B9C" w:rsidRDefault="005E457E" w:rsidP="00E84CC6">
            <w:pPr>
              <w:rPr>
                <w:b/>
                <w:bCs/>
              </w:rPr>
            </w:pPr>
          </w:p>
        </w:tc>
        <w:tc>
          <w:tcPr>
            <w:tcW w:w="953" w:type="dxa"/>
            <w:tcBorders>
              <w:top w:val="nil"/>
              <w:right w:val="nil"/>
            </w:tcBorders>
          </w:tcPr>
          <w:p w14:paraId="763FCB2E" w14:textId="2A509515" w:rsidR="005E457E" w:rsidRPr="000B5B9C" w:rsidRDefault="005E457E" w:rsidP="005E457E">
            <w:pPr>
              <w:jc w:val="center"/>
              <w:rPr>
                <w:b/>
                <w:bCs/>
              </w:rPr>
            </w:pPr>
            <w:r>
              <w:rPr>
                <w:b/>
                <w:bCs/>
              </w:rPr>
              <w:t>ja</w:t>
            </w:r>
          </w:p>
        </w:tc>
        <w:tc>
          <w:tcPr>
            <w:tcW w:w="954" w:type="dxa"/>
            <w:tcBorders>
              <w:top w:val="nil"/>
              <w:left w:val="nil"/>
            </w:tcBorders>
          </w:tcPr>
          <w:p w14:paraId="08629861" w14:textId="724D3DFB" w:rsidR="005E457E" w:rsidRPr="000B5B9C" w:rsidRDefault="005E457E" w:rsidP="005E457E">
            <w:pPr>
              <w:jc w:val="center"/>
              <w:rPr>
                <w:b/>
                <w:bCs/>
              </w:rPr>
            </w:pPr>
            <w:r>
              <w:rPr>
                <w:b/>
                <w:bCs/>
              </w:rPr>
              <w:t>nein</w:t>
            </w:r>
          </w:p>
        </w:tc>
      </w:tr>
      <w:tr w:rsidR="005E457E" w14:paraId="29B182A5" w14:textId="4AF440E6" w:rsidTr="005E457E">
        <w:tc>
          <w:tcPr>
            <w:tcW w:w="2478" w:type="dxa"/>
          </w:tcPr>
          <w:p w14:paraId="71E3561C" w14:textId="77777777" w:rsidR="005E457E" w:rsidRPr="001F1A55" w:rsidRDefault="005E457E" w:rsidP="00E84CC6">
            <w:pPr>
              <w:rPr>
                <w:b/>
                <w:bCs/>
              </w:rPr>
            </w:pPr>
            <w:r w:rsidRPr="001F1A55">
              <w:rPr>
                <w:b/>
                <w:bCs/>
              </w:rPr>
              <w:t>Verjährungsfrist</w:t>
            </w:r>
          </w:p>
          <w:p w14:paraId="396B6270" w14:textId="77777777" w:rsidR="005E457E" w:rsidRDefault="005E457E" w:rsidP="00E84CC6"/>
        </w:tc>
        <w:tc>
          <w:tcPr>
            <w:tcW w:w="4677" w:type="dxa"/>
          </w:tcPr>
          <w:p w14:paraId="67AC3CAD" w14:textId="77777777" w:rsidR="005E457E" w:rsidRDefault="005E457E" w:rsidP="00E84CC6">
            <w:r>
              <w:t>Die regelmäßige Verjährungsfrist beträgt 3 Jahre zum Ende eines Kalenderjahres. Ansprüche, die im Jahr 2018 entstanden sind, müssen daher spätestens bis zum 31.12.2021 gerichtlich geltend gemacht werden.</w:t>
            </w:r>
          </w:p>
          <w:p w14:paraId="55A09875" w14:textId="77777777" w:rsidR="005E457E" w:rsidRDefault="005E457E" w:rsidP="00E84CC6"/>
        </w:tc>
        <w:tc>
          <w:tcPr>
            <w:tcW w:w="953" w:type="dxa"/>
          </w:tcPr>
          <w:p w14:paraId="0D0591A8" w14:textId="77777777" w:rsidR="005E457E" w:rsidRDefault="005E457E" w:rsidP="00E84CC6"/>
        </w:tc>
        <w:tc>
          <w:tcPr>
            <w:tcW w:w="954" w:type="dxa"/>
          </w:tcPr>
          <w:p w14:paraId="176A8A21" w14:textId="77777777" w:rsidR="005E457E" w:rsidRDefault="005E457E" w:rsidP="00E84CC6"/>
        </w:tc>
      </w:tr>
      <w:tr w:rsidR="005E457E" w14:paraId="66ECA39E" w14:textId="6D41CDE8" w:rsidTr="005E457E">
        <w:tc>
          <w:tcPr>
            <w:tcW w:w="2478" w:type="dxa"/>
          </w:tcPr>
          <w:p w14:paraId="19EDB8A7" w14:textId="77777777" w:rsidR="005E457E" w:rsidRPr="001F1A55" w:rsidRDefault="005E457E" w:rsidP="00E84CC6">
            <w:pPr>
              <w:rPr>
                <w:b/>
                <w:bCs/>
              </w:rPr>
            </w:pPr>
            <w:r w:rsidRPr="001F1A55">
              <w:rPr>
                <w:b/>
                <w:bCs/>
              </w:rPr>
              <w:t>Ausschlussfristen</w:t>
            </w:r>
          </w:p>
          <w:p w14:paraId="4FD1A7CC" w14:textId="77777777" w:rsidR="005E457E" w:rsidRDefault="005E457E" w:rsidP="00E84CC6"/>
        </w:tc>
        <w:tc>
          <w:tcPr>
            <w:tcW w:w="4677" w:type="dxa"/>
          </w:tcPr>
          <w:p w14:paraId="7B8A3504" w14:textId="77777777" w:rsidR="005E457E" w:rsidRDefault="005E457E" w:rsidP="00E84CC6">
            <w:r>
              <w:t xml:space="preserve">Im Arbeitsrecht spielt die Verjährung allerdings meistens keine große praktische Rolle, da nicht selten schon lange vorher Ausschlussfristen greifen. </w:t>
            </w:r>
          </w:p>
          <w:p w14:paraId="0526CB2A" w14:textId="77777777" w:rsidR="005E457E" w:rsidRDefault="005E457E" w:rsidP="00E84CC6"/>
          <w:p w14:paraId="67934FC7" w14:textId="77777777" w:rsidR="005E457E" w:rsidRDefault="005E457E" w:rsidP="00E84CC6">
            <w:r>
              <w:t xml:space="preserve">Diese haben eine ähnliche Wirkung wie eine Verjährungsfrist, sind aber meistens deutlich kürzer, nämlich nur wenige Monate. Ausschlussfristen verlangen teilweise eine gerichtliche, teilweise aber auch nur eine außergerichtliche Geltendmachung. </w:t>
            </w:r>
          </w:p>
          <w:p w14:paraId="57D0C216" w14:textId="77777777" w:rsidR="005E457E" w:rsidRDefault="005E457E" w:rsidP="00E84CC6"/>
          <w:p w14:paraId="6AF2F596" w14:textId="67ACDD6C" w:rsidR="005E457E" w:rsidRDefault="005E457E" w:rsidP="00E84CC6">
            <w:r>
              <w:t xml:space="preserve">Sie sind im kirchlichen Bereich beispielsweise in § 57 KAVO und in § 36 BAT-KF sowie in den katholischen und evangelischen AVR enthalten. </w:t>
            </w:r>
          </w:p>
          <w:p w14:paraId="5D2EF465" w14:textId="77777777" w:rsidR="005E457E" w:rsidRDefault="005E457E" w:rsidP="00E84CC6"/>
          <w:p w14:paraId="391F21BD" w14:textId="05C477A7" w:rsidR="005E457E" w:rsidRDefault="005E457E" w:rsidP="00E84CC6">
            <w:r>
              <w:t>Das Bundesarbeitsgericht hat allerdings kürzlich geurteilt, dass ein Dienstgeber sich auf solche Fristen nicht berufen kann, wenn sie nicht entsprechend dem Nachweisgesetz konkret benannt wurden.</w:t>
            </w:r>
          </w:p>
          <w:p w14:paraId="7A5E2753" w14:textId="77777777" w:rsidR="005E457E" w:rsidRDefault="005E457E" w:rsidP="00E84CC6"/>
        </w:tc>
        <w:tc>
          <w:tcPr>
            <w:tcW w:w="953" w:type="dxa"/>
          </w:tcPr>
          <w:p w14:paraId="091788ED" w14:textId="77777777" w:rsidR="005E457E" w:rsidRDefault="005E457E" w:rsidP="00E84CC6"/>
        </w:tc>
        <w:tc>
          <w:tcPr>
            <w:tcW w:w="954" w:type="dxa"/>
          </w:tcPr>
          <w:p w14:paraId="108526C9" w14:textId="77777777" w:rsidR="005E457E" w:rsidRDefault="005E457E" w:rsidP="00E84CC6"/>
        </w:tc>
      </w:tr>
      <w:tr w:rsidR="005E457E" w14:paraId="7C5595F0" w14:textId="5F2D96E7" w:rsidTr="005E457E">
        <w:tc>
          <w:tcPr>
            <w:tcW w:w="2478" w:type="dxa"/>
          </w:tcPr>
          <w:p w14:paraId="1F4DD518" w14:textId="77777777" w:rsidR="005E457E" w:rsidRPr="001F1A55" w:rsidRDefault="005E457E" w:rsidP="00E84CC6">
            <w:pPr>
              <w:rPr>
                <w:b/>
                <w:bCs/>
              </w:rPr>
            </w:pPr>
            <w:r w:rsidRPr="001F1A55">
              <w:rPr>
                <w:b/>
                <w:bCs/>
              </w:rPr>
              <w:t xml:space="preserve">AGG-Fristen </w:t>
            </w:r>
          </w:p>
          <w:p w14:paraId="07F4B464" w14:textId="77777777" w:rsidR="005E457E" w:rsidRDefault="005E457E" w:rsidP="00E84CC6"/>
        </w:tc>
        <w:tc>
          <w:tcPr>
            <w:tcW w:w="4677" w:type="dxa"/>
          </w:tcPr>
          <w:p w14:paraId="51B91C6B" w14:textId="77777777" w:rsidR="005E457E" w:rsidRDefault="005E457E" w:rsidP="00E84CC6">
            <w:r>
              <w:t>Besondere Fristen sind zu beachten, wenn es um Ansprüche aus dem Allgemeinen Gleichbehandlungsgesetz (AGG) geht. 3 Monate ab der schriftlichen Geltendmachung müssen Sie einen Anspruch aus AGG einklagen. Zuvor muss bereits die Geltendmachung innerhalb von 2 Monaten erfolgt sein.</w:t>
            </w:r>
          </w:p>
          <w:p w14:paraId="458428A3" w14:textId="77777777" w:rsidR="005E457E" w:rsidRDefault="005E457E" w:rsidP="00E84CC6"/>
        </w:tc>
        <w:tc>
          <w:tcPr>
            <w:tcW w:w="953" w:type="dxa"/>
          </w:tcPr>
          <w:p w14:paraId="7A17C10A" w14:textId="77777777" w:rsidR="005E457E" w:rsidRDefault="005E457E" w:rsidP="00E84CC6"/>
        </w:tc>
        <w:tc>
          <w:tcPr>
            <w:tcW w:w="954" w:type="dxa"/>
          </w:tcPr>
          <w:p w14:paraId="73030A5C" w14:textId="77777777" w:rsidR="005E457E" w:rsidRDefault="005E457E" w:rsidP="00E84CC6"/>
        </w:tc>
      </w:tr>
      <w:tr w:rsidR="005E457E" w14:paraId="79A99569" w14:textId="56B16195" w:rsidTr="005E457E">
        <w:tc>
          <w:tcPr>
            <w:tcW w:w="2478" w:type="dxa"/>
          </w:tcPr>
          <w:p w14:paraId="7A661B62" w14:textId="77777777" w:rsidR="005E457E" w:rsidRPr="001F1A55" w:rsidRDefault="005E457E" w:rsidP="00E84CC6">
            <w:pPr>
              <w:rPr>
                <w:b/>
                <w:bCs/>
              </w:rPr>
            </w:pPr>
            <w:r w:rsidRPr="001F1A55">
              <w:rPr>
                <w:b/>
                <w:bCs/>
              </w:rPr>
              <w:t>Klagefrist Kündigungsschutzklage</w:t>
            </w:r>
          </w:p>
          <w:p w14:paraId="3A3580E7" w14:textId="77777777" w:rsidR="005E457E" w:rsidRDefault="005E457E" w:rsidP="00E84CC6"/>
        </w:tc>
        <w:tc>
          <w:tcPr>
            <w:tcW w:w="4677" w:type="dxa"/>
          </w:tcPr>
          <w:p w14:paraId="319EF2F6" w14:textId="77777777" w:rsidR="005E457E" w:rsidRDefault="005E457E" w:rsidP="00E84CC6">
            <w:r>
              <w:t>Sehr wichtig ist die Klagefrist für die Kündigungsschutzklage. Diese beträgt 3 Wochen ab Zugang der schriftlichen Kündigung. Falls allerdings nur mündlich gekündigt wurde, kann eine Klage eventuell auch später noch erfolgreich sein.</w:t>
            </w:r>
          </w:p>
          <w:p w14:paraId="39DBA76D" w14:textId="77777777" w:rsidR="005E457E" w:rsidRDefault="005E457E" w:rsidP="00E84CC6"/>
        </w:tc>
        <w:tc>
          <w:tcPr>
            <w:tcW w:w="953" w:type="dxa"/>
          </w:tcPr>
          <w:p w14:paraId="3AB2D531" w14:textId="77777777" w:rsidR="005E457E" w:rsidRDefault="005E457E" w:rsidP="00E84CC6"/>
        </w:tc>
        <w:tc>
          <w:tcPr>
            <w:tcW w:w="954" w:type="dxa"/>
          </w:tcPr>
          <w:p w14:paraId="6DF97C33" w14:textId="77777777" w:rsidR="005E457E" w:rsidRDefault="005E457E" w:rsidP="00E84CC6"/>
        </w:tc>
      </w:tr>
      <w:tr w:rsidR="005E457E" w14:paraId="07A8878D" w14:textId="171EA006" w:rsidTr="005E457E">
        <w:tc>
          <w:tcPr>
            <w:tcW w:w="2478" w:type="dxa"/>
          </w:tcPr>
          <w:p w14:paraId="79D5CA76" w14:textId="77777777" w:rsidR="005E457E" w:rsidRPr="001F1A55" w:rsidRDefault="005E457E" w:rsidP="00E84CC6">
            <w:pPr>
              <w:rPr>
                <w:b/>
                <w:bCs/>
              </w:rPr>
            </w:pPr>
            <w:r w:rsidRPr="001F1A55">
              <w:rPr>
                <w:b/>
                <w:bCs/>
              </w:rPr>
              <w:t>Frist zur Geltendmachung von Unwirksamkeitsgründen</w:t>
            </w:r>
          </w:p>
          <w:p w14:paraId="19C511AC" w14:textId="77777777" w:rsidR="005E457E" w:rsidRDefault="005E457E" w:rsidP="00E84CC6"/>
        </w:tc>
        <w:tc>
          <w:tcPr>
            <w:tcW w:w="4677" w:type="dxa"/>
          </w:tcPr>
          <w:p w14:paraId="3843B041" w14:textId="0CD75AEF" w:rsidR="005E457E" w:rsidRDefault="005E457E" w:rsidP="00E84CC6">
            <w:r>
              <w:t>Wenn die Kündigungsschutzklage erhoben ist, k</w:t>
            </w:r>
            <w:r w:rsidR="00BB3C30">
              <w:t>önne</w:t>
            </w:r>
            <w:r>
              <w:t>n bis zum Ende der mündlichen Verhandlung in der ersten Instanz noch weitere Unwirksamkeitsgründe nachgeschoben werden, die man vielleicht vorher nicht gesehen hat – beispielsweise dass die Anhörung der MAV nicht oder nicht ordnungsgemäß durchgeführt wurde.</w:t>
            </w:r>
          </w:p>
          <w:p w14:paraId="17CD6D01" w14:textId="77777777" w:rsidR="005E457E" w:rsidRDefault="005E457E" w:rsidP="00E84CC6"/>
        </w:tc>
        <w:tc>
          <w:tcPr>
            <w:tcW w:w="953" w:type="dxa"/>
          </w:tcPr>
          <w:p w14:paraId="3EDB8C77" w14:textId="77777777" w:rsidR="005E457E" w:rsidRDefault="005E457E" w:rsidP="00E84CC6"/>
        </w:tc>
        <w:tc>
          <w:tcPr>
            <w:tcW w:w="954" w:type="dxa"/>
          </w:tcPr>
          <w:p w14:paraId="0CEDC473" w14:textId="77777777" w:rsidR="005E457E" w:rsidRDefault="005E457E" w:rsidP="00E84CC6"/>
        </w:tc>
      </w:tr>
      <w:tr w:rsidR="005E457E" w14:paraId="5BD1F5BE" w14:textId="18962115" w:rsidTr="005E457E">
        <w:tc>
          <w:tcPr>
            <w:tcW w:w="2478" w:type="dxa"/>
          </w:tcPr>
          <w:p w14:paraId="6764E94A" w14:textId="77777777" w:rsidR="005E457E" w:rsidRPr="001F1A55" w:rsidRDefault="005E457E" w:rsidP="00E84CC6">
            <w:pPr>
              <w:rPr>
                <w:b/>
                <w:bCs/>
              </w:rPr>
            </w:pPr>
            <w:r>
              <w:rPr>
                <w:b/>
                <w:bCs/>
              </w:rPr>
              <w:t>Klageerwiderungsfrist und weitere Schriftsatzfristen</w:t>
            </w:r>
          </w:p>
          <w:p w14:paraId="25569726" w14:textId="77777777" w:rsidR="005E457E" w:rsidRDefault="005E457E" w:rsidP="00E84CC6"/>
        </w:tc>
        <w:tc>
          <w:tcPr>
            <w:tcW w:w="4677" w:type="dxa"/>
          </w:tcPr>
          <w:p w14:paraId="05F1496D" w14:textId="222121E0" w:rsidR="005E457E" w:rsidRDefault="005E457E" w:rsidP="00E84CC6">
            <w:r>
              <w:t>Im laufenden Prozess setzt das Gericht normalerweise weitere Fristen z.</w:t>
            </w:r>
            <w:r w:rsidR="00BB3C30">
              <w:t xml:space="preserve"> </w:t>
            </w:r>
            <w:r>
              <w:t xml:space="preserve">B. zur Klageerwiderung oder auch zur weiteren Stellungnahme auf gegnerische Äußerungen. Diese Fristen müssen Sie beachten. Andernfalls kann ein </w:t>
            </w:r>
            <w:r w:rsidR="00BB3C30">
              <w:t>Vorbringen ggf</w:t>
            </w:r>
            <w:r>
              <w:t>. als verspätet zurückgewiesen werden.</w:t>
            </w:r>
          </w:p>
          <w:p w14:paraId="149A8C0E" w14:textId="77777777" w:rsidR="005E457E" w:rsidRDefault="005E457E" w:rsidP="00E84CC6"/>
        </w:tc>
        <w:tc>
          <w:tcPr>
            <w:tcW w:w="953" w:type="dxa"/>
          </w:tcPr>
          <w:p w14:paraId="07FBA412" w14:textId="77777777" w:rsidR="005E457E" w:rsidRDefault="005E457E" w:rsidP="00E84CC6"/>
        </w:tc>
        <w:tc>
          <w:tcPr>
            <w:tcW w:w="954" w:type="dxa"/>
          </w:tcPr>
          <w:p w14:paraId="527FEA09" w14:textId="77777777" w:rsidR="005E457E" w:rsidRDefault="005E457E" w:rsidP="00E84CC6"/>
        </w:tc>
      </w:tr>
      <w:tr w:rsidR="005E457E" w14:paraId="474564DD" w14:textId="10423915" w:rsidTr="005E457E">
        <w:tc>
          <w:tcPr>
            <w:tcW w:w="2478" w:type="dxa"/>
          </w:tcPr>
          <w:p w14:paraId="20CD6480" w14:textId="77777777" w:rsidR="005E457E" w:rsidRDefault="005E457E" w:rsidP="00E84CC6"/>
          <w:p w14:paraId="02953A40" w14:textId="77777777" w:rsidR="005E457E" w:rsidRPr="001F1A55" w:rsidRDefault="005E457E" w:rsidP="00E84CC6">
            <w:pPr>
              <w:rPr>
                <w:b/>
                <w:bCs/>
              </w:rPr>
            </w:pPr>
            <w:r w:rsidRPr="001F1A55">
              <w:rPr>
                <w:b/>
                <w:bCs/>
              </w:rPr>
              <w:lastRenderedPageBreak/>
              <w:t>Frist für Einspruch gegen Versäumnisurteil</w:t>
            </w:r>
          </w:p>
          <w:p w14:paraId="31E8621F" w14:textId="77777777" w:rsidR="005E457E" w:rsidRDefault="005E457E" w:rsidP="00E84CC6"/>
        </w:tc>
        <w:tc>
          <w:tcPr>
            <w:tcW w:w="4677" w:type="dxa"/>
          </w:tcPr>
          <w:p w14:paraId="3B0913EF" w14:textId="77777777" w:rsidR="005E457E" w:rsidRDefault="005E457E" w:rsidP="00E84CC6"/>
          <w:p w14:paraId="664E8C0B" w14:textId="109805BA" w:rsidR="005E457E" w:rsidRDefault="005E457E" w:rsidP="00E84CC6">
            <w:r>
              <w:lastRenderedPageBreak/>
              <w:t xml:space="preserve">Falls es einmal passieren sollte, dass Sie einen Gerichtstermin versäumen und daher ein Versäumnisurteil ergeht, haben Sie lediglich </w:t>
            </w:r>
            <w:r w:rsidR="00BB3C30">
              <w:t>eine</w:t>
            </w:r>
            <w:r>
              <w:t xml:space="preserve"> Woche ab Zustellung Zeit, hiergegen Einspruch einzulegen. Ansonsten ist der Prozess beendet.</w:t>
            </w:r>
          </w:p>
          <w:p w14:paraId="6E5F6220" w14:textId="77777777" w:rsidR="005E457E" w:rsidRDefault="005E457E" w:rsidP="00E84CC6"/>
        </w:tc>
        <w:tc>
          <w:tcPr>
            <w:tcW w:w="953" w:type="dxa"/>
          </w:tcPr>
          <w:p w14:paraId="5C44678D" w14:textId="77777777" w:rsidR="005E457E" w:rsidRDefault="005E457E" w:rsidP="00E84CC6"/>
        </w:tc>
        <w:tc>
          <w:tcPr>
            <w:tcW w:w="954" w:type="dxa"/>
          </w:tcPr>
          <w:p w14:paraId="57949DFD" w14:textId="77777777" w:rsidR="005E457E" w:rsidRDefault="005E457E" w:rsidP="00E84CC6"/>
        </w:tc>
      </w:tr>
      <w:tr w:rsidR="005E457E" w14:paraId="198AFD57" w14:textId="7B7DD80F" w:rsidTr="005E457E">
        <w:tc>
          <w:tcPr>
            <w:tcW w:w="2478" w:type="dxa"/>
          </w:tcPr>
          <w:p w14:paraId="4C3B478E" w14:textId="77777777" w:rsidR="005E457E" w:rsidRPr="001F1A55" w:rsidRDefault="005E457E" w:rsidP="00E84CC6">
            <w:pPr>
              <w:rPr>
                <w:b/>
                <w:bCs/>
              </w:rPr>
            </w:pPr>
            <w:r w:rsidRPr="001F1A55">
              <w:rPr>
                <w:b/>
                <w:bCs/>
              </w:rPr>
              <w:t>Berufungsfrist und Berufungsbegründungsfrist</w:t>
            </w:r>
          </w:p>
          <w:p w14:paraId="1934E130" w14:textId="77777777" w:rsidR="005E457E" w:rsidRDefault="005E457E" w:rsidP="00E84CC6"/>
        </w:tc>
        <w:tc>
          <w:tcPr>
            <w:tcW w:w="4677" w:type="dxa"/>
          </w:tcPr>
          <w:p w14:paraId="1CAFB6AC" w14:textId="77777777" w:rsidR="005E457E" w:rsidRDefault="005E457E" w:rsidP="00E84CC6">
            <w:r>
              <w:t>Nach einem erstinstanzlichen Urteil kann die unterlegene Partei hiergegen Berufung einlegen. Dies geht allerdings nur durch einen Rechtsanwalt. Dennoch sollten Sie diese Frist auf dem Schirm haben, da Sie den Rechtsanwalt ja rechtzeitig beauftragen müssen. Das gilt insbesondere, wenn Sie den Prozess in der ersten Instanz selbst geführt haben. Der Anwalt muss dann später auch noch darauf achten, die Berufungsbegründung rechtzeitig einzureichen. Hierfür gilt eine Frist von 2 Monaten ab Zustellung des Urteils.</w:t>
            </w:r>
          </w:p>
          <w:p w14:paraId="1BFF9BDC" w14:textId="77777777" w:rsidR="005E457E" w:rsidRDefault="005E457E" w:rsidP="00E84CC6"/>
        </w:tc>
        <w:tc>
          <w:tcPr>
            <w:tcW w:w="953" w:type="dxa"/>
          </w:tcPr>
          <w:p w14:paraId="380B0351" w14:textId="77777777" w:rsidR="005E457E" w:rsidRDefault="005E457E" w:rsidP="00E84CC6"/>
        </w:tc>
        <w:tc>
          <w:tcPr>
            <w:tcW w:w="954" w:type="dxa"/>
          </w:tcPr>
          <w:p w14:paraId="25D6BFE5" w14:textId="77777777" w:rsidR="005E457E" w:rsidRDefault="005E457E" w:rsidP="00E84CC6"/>
        </w:tc>
      </w:tr>
      <w:tr w:rsidR="005E457E" w14:paraId="0E45C74E" w14:textId="3A8C8531" w:rsidTr="008317C2">
        <w:tc>
          <w:tcPr>
            <w:tcW w:w="9062" w:type="dxa"/>
            <w:gridSpan w:val="4"/>
          </w:tcPr>
          <w:p w14:paraId="3BDE69D7" w14:textId="4AD960E5" w:rsidR="005E457E" w:rsidRDefault="005E457E" w:rsidP="00E84CC6">
            <w:r w:rsidRPr="005E457E">
              <w:t>Zu finden unter www.adiuva.de unter Eingabe des Titels im Suchfeld</w:t>
            </w:r>
          </w:p>
        </w:tc>
      </w:tr>
    </w:tbl>
    <w:p w14:paraId="25FBAEAA" w14:textId="77777777" w:rsidR="00DD3FDB" w:rsidRDefault="00DD3FDB" w:rsidP="00DD3FDB"/>
    <w:p w14:paraId="4368737E" w14:textId="77777777" w:rsidR="0027579C" w:rsidRDefault="0027579C"/>
    <w:sectPr w:rsidR="002757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DB"/>
    <w:rsid w:val="00194528"/>
    <w:rsid w:val="0027579C"/>
    <w:rsid w:val="004F0F34"/>
    <w:rsid w:val="005E07A0"/>
    <w:rsid w:val="005E457E"/>
    <w:rsid w:val="006C5AC6"/>
    <w:rsid w:val="009B5D66"/>
    <w:rsid w:val="00A75C94"/>
    <w:rsid w:val="00A934B3"/>
    <w:rsid w:val="00BB3C30"/>
    <w:rsid w:val="00DD3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F471"/>
  <w15:chartTrackingRefBased/>
  <w15:docId w15:val="{30F1B3C0-F9F9-48F8-8456-E9205C5E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3FDB"/>
    <w:pPr>
      <w:ind w:hanging="1"/>
    </w:pPr>
    <w:rPr>
      <w:rFonts w:ascii="Calibri" w:eastAsia="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D3FD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D3FDB"/>
    <w:rPr>
      <w:sz w:val="16"/>
      <w:szCs w:val="16"/>
    </w:rPr>
  </w:style>
  <w:style w:type="paragraph" w:styleId="Kommentartext">
    <w:name w:val="annotation text"/>
    <w:basedOn w:val="Standard"/>
    <w:link w:val="KommentartextZchn"/>
    <w:uiPriority w:val="99"/>
    <w:semiHidden/>
    <w:unhideWhenUsed/>
    <w:rsid w:val="00DD3FDB"/>
    <w:pPr>
      <w:spacing w:line="240" w:lineRule="auto"/>
      <w:ind w:firstLine="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DD3FDB"/>
    <w:rPr>
      <w:sz w:val="20"/>
      <w:szCs w:val="20"/>
    </w:rPr>
  </w:style>
  <w:style w:type="paragraph" w:styleId="Sprechblasentext">
    <w:name w:val="Balloon Text"/>
    <w:basedOn w:val="Standard"/>
    <w:link w:val="SprechblasentextZchn"/>
    <w:uiPriority w:val="99"/>
    <w:semiHidden/>
    <w:unhideWhenUsed/>
    <w:rsid w:val="00DD3F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3FDB"/>
    <w:rPr>
      <w:rFonts w:ascii="Segoe UI" w:eastAsia="Calibr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tillmann</dc:creator>
  <cp:keywords/>
  <dc:description/>
  <cp:lastModifiedBy>Natalie Hölscher</cp:lastModifiedBy>
  <cp:revision>2</cp:revision>
  <dcterms:created xsi:type="dcterms:W3CDTF">2025-08-15T14:50:00Z</dcterms:created>
  <dcterms:modified xsi:type="dcterms:W3CDTF">2025-08-15T14:50:00Z</dcterms:modified>
</cp:coreProperties>
</file>