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A168" w14:textId="77777777" w:rsidR="006D3058" w:rsidRDefault="006D3058" w:rsidP="006D3058">
      <w:pPr>
        <w:pStyle w:val="BGBHead"/>
        <w:spacing w:after="0" w:line="276" w:lineRule="auto"/>
        <w:rPr>
          <w:rFonts w:asciiTheme="minorHAnsi" w:eastAsia="Times New Roman" w:hAnsiTheme="minorHAnsi" w:cstheme="minorHAnsi"/>
          <w:bCs/>
          <w:color w:val="221E1F"/>
          <w:spacing w:val="0"/>
          <w:w w:val="100"/>
          <w:sz w:val="18"/>
          <w:szCs w:val="1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9"/>
        <w:gridCol w:w="6976"/>
        <w:gridCol w:w="377"/>
      </w:tblGrid>
      <w:tr w:rsidR="006D3058" w14:paraId="30480E6D" w14:textId="77777777" w:rsidTr="00221F19">
        <w:tc>
          <w:tcPr>
            <w:tcW w:w="1709" w:type="dxa"/>
          </w:tcPr>
          <w:p w14:paraId="03DBD956" w14:textId="77777777" w:rsidR="006D3058" w:rsidRPr="003362ED" w:rsidRDefault="006D3058" w:rsidP="00836C9A">
            <w:pPr>
              <w:pStyle w:val="BGBHead"/>
              <w:spacing w:after="0" w:line="276" w:lineRule="auto"/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</w:pPr>
            <w:r w:rsidRPr="003362ED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Gesetz</w:t>
            </w:r>
          </w:p>
        </w:tc>
        <w:tc>
          <w:tcPr>
            <w:tcW w:w="6976" w:type="dxa"/>
          </w:tcPr>
          <w:p w14:paraId="242D73E3" w14:textId="77777777" w:rsidR="006D3058" w:rsidRPr="003362ED" w:rsidRDefault="006D3058" w:rsidP="00836C9A">
            <w:pPr>
              <w:pStyle w:val="BGBHead"/>
              <w:spacing w:after="0" w:line="276" w:lineRule="auto"/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</w:pPr>
            <w:r w:rsidRPr="003362ED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Beschreibung</w:t>
            </w:r>
          </w:p>
        </w:tc>
        <w:tc>
          <w:tcPr>
            <w:tcW w:w="377" w:type="dxa"/>
          </w:tcPr>
          <w:p w14:paraId="7EC3956A" w14:textId="77777777" w:rsidR="006D3058" w:rsidRDefault="006D3058" w:rsidP="00836C9A">
            <w:pPr>
              <w:pStyle w:val="BGBHea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sym w:font="Wingdings" w:char="F06F"/>
            </w:r>
          </w:p>
        </w:tc>
      </w:tr>
      <w:tr w:rsidR="006D3058" w14:paraId="20CE7E75" w14:textId="77777777" w:rsidTr="00221F19">
        <w:tc>
          <w:tcPr>
            <w:tcW w:w="1709" w:type="dxa"/>
          </w:tcPr>
          <w:p w14:paraId="575E3C72" w14:textId="5322CBA8" w:rsidR="006D3058" w:rsidRPr="003362ED" w:rsidRDefault="006D3058" w:rsidP="00836C9A">
            <w:pPr>
              <w:pStyle w:val="BGBHead"/>
              <w:spacing w:after="0" w:line="276" w:lineRule="auto"/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</w:pPr>
            <w:r w:rsidRPr="003362ED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§ 7</w:t>
            </w:r>
            <w:r w:rsidR="006E0541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</w:t>
            </w:r>
            <w:r w:rsidR="006E0541" w:rsidRPr="003362ED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DGUV V1</w:t>
            </w:r>
          </w:p>
        </w:tc>
        <w:tc>
          <w:tcPr>
            <w:tcW w:w="6976" w:type="dxa"/>
          </w:tcPr>
          <w:p w14:paraId="5541BAE1" w14:textId="6EC5E5C5" w:rsidR="006D3058" w:rsidRDefault="006D3058" w:rsidP="00836C9A">
            <w:pPr>
              <w:pStyle w:val="BGBHea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</w:pPr>
            <w:r w:rsidRPr="003362ED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Spricht den </w:t>
            </w:r>
            <w:r w:rsidR="00271ACF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Dienstherrn</w:t>
            </w:r>
            <w:r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</w:t>
            </w:r>
            <w:r w:rsidRPr="003362ED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an</w:t>
            </w:r>
            <w:r w:rsidR="006E0541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:</w:t>
            </w:r>
            <w:r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I</w:t>
            </w:r>
            <w:r w:rsidRPr="003E07D8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>n der Vorschrift 1</w:t>
            </w:r>
            <w:r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Grundsätze der Prävention</w:t>
            </w:r>
            <w:r w:rsidRPr="003E07D8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§ 7</w:t>
            </w:r>
            <w:r w:rsidR="006E0541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</w:t>
            </w:r>
            <w:r w:rsidRPr="003E07D8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>der Deutschen Gemeinsamen Unfallversicherung (DGUV)</w:t>
            </w:r>
            <w:r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ist</w:t>
            </w:r>
            <w:r w:rsidRPr="003E07D8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klar die Fürsorgepflicht Ihre</w:t>
            </w:r>
            <w:r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>s</w:t>
            </w:r>
            <w:r w:rsidRPr="003E07D8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Arbeitgeber</w:t>
            </w:r>
            <w:r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>s</w:t>
            </w:r>
            <w:r w:rsidRPr="003E07D8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geregelt. Er darf das Thema Sucht nicht „unter den Tisch </w:t>
            </w:r>
            <w:r w:rsidRPr="003362ED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>kehren</w:t>
            </w:r>
            <w:r w:rsidR="006E0541" w:rsidRPr="003E07D8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>“</w:t>
            </w:r>
            <w:r w:rsidRPr="003E07D8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und muss für die Sicherheit und Gesundheit aller Kolleginnen und Kollegen sorgen.</w:t>
            </w:r>
            <w:r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Zudem weist der Artikel darauf hin, dass ein Arbeitgeber keinen Mitarbeiter weiterbeschäftigen darf, der gesundheitlich nicht in der Lage ist, eine Arbeit auszuführen. Auch hier ist eine fristlose Kündigung möglich.</w:t>
            </w:r>
          </w:p>
        </w:tc>
        <w:tc>
          <w:tcPr>
            <w:tcW w:w="377" w:type="dxa"/>
          </w:tcPr>
          <w:p w14:paraId="55AB1EEE" w14:textId="77777777" w:rsidR="006D3058" w:rsidRDefault="006D3058" w:rsidP="00836C9A">
            <w:pPr>
              <w:pStyle w:val="BGBHea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</w:pPr>
          </w:p>
        </w:tc>
      </w:tr>
      <w:tr w:rsidR="006D3058" w14:paraId="14C060D3" w14:textId="77777777" w:rsidTr="00221F19">
        <w:tc>
          <w:tcPr>
            <w:tcW w:w="1709" w:type="dxa"/>
          </w:tcPr>
          <w:p w14:paraId="2CD61ADB" w14:textId="17DAB04D" w:rsidR="006D3058" w:rsidRDefault="006E0541" w:rsidP="00836C9A">
            <w:pPr>
              <w:pStyle w:val="BGBHea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§</w:t>
            </w:r>
            <w:r w:rsidR="006D3058" w:rsidRPr="003362ED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§ </w:t>
            </w:r>
            <w:r w:rsidR="006D3058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15 und 16</w:t>
            </w:r>
            <w:r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</w:t>
            </w:r>
            <w:r w:rsidRPr="003362ED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DGUV V1</w:t>
            </w:r>
          </w:p>
        </w:tc>
        <w:tc>
          <w:tcPr>
            <w:tcW w:w="6976" w:type="dxa"/>
          </w:tcPr>
          <w:p w14:paraId="2CD120EC" w14:textId="71AAD08F" w:rsidR="006D3058" w:rsidRDefault="006D3058" w:rsidP="00836C9A">
            <w:pPr>
              <w:pStyle w:val="BGBHea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</w:pPr>
            <w:r w:rsidRPr="003362ED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Spricht den Arbeitnehmer</w:t>
            </w:r>
            <w:r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und auch Sie als </w:t>
            </w:r>
            <w:r w:rsidR="00271ACF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Personalra</w:t>
            </w:r>
            <w:r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t</w:t>
            </w:r>
            <w:r w:rsidRPr="003362ED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an</w:t>
            </w:r>
            <w:r w:rsidR="006E0541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:</w:t>
            </w:r>
            <w:r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Ebenfalls richtet sich die Unfallverhütungsvorschrift auch an die Arbeitnehmer. Nach </w:t>
            </w:r>
            <w:r w:rsidRPr="003E07D8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>§ 15 Abs</w:t>
            </w:r>
            <w:r w:rsidR="006E0541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>.</w:t>
            </w:r>
            <w:r w:rsidRPr="003E07D8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1 und § 16 </w:t>
            </w:r>
            <w:r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sind die Kollegen </w:t>
            </w:r>
            <w:r w:rsidRPr="003E07D8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>dazu verpflichtet</w:t>
            </w:r>
            <w:r w:rsidR="006E0541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>,</w:t>
            </w:r>
            <w:r w:rsidRPr="003E07D8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Gesundheitsgefahren oder Sicherheitsrisiken zu melden. Dazu gehört auch ein Kollege, der aufgrund seines Suchtverhalten</w:t>
            </w:r>
            <w:r w:rsidR="006E0541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>s</w:t>
            </w:r>
            <w:r w:rsidRPr="003E07D8"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ein Risiko für sich und andere darstellt.</w:t>
            </w:r>
          </w:p>
        </w:tc>
        <w:tc>
          <w:tcPr>
            <w:tcW w:w="377" w:type="dxa"/>
          </w:tcPr>
          <w:p w14:paraId="6DE8BDA5" w14:textId="77777777" w:rsidR="006D3058" w:rsidRDefault="006D3058" w:rsidP="00836C9A">
            <w:pPr>
              <w:pStyle w:val="BGBHea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</w:pPr>
          </w:p>
        </w:tc>
      </w:tr>
      <w:tr w:rsidR="006D3058" w14:paraId="1AEF0E78" w14:textId="77777777" w:rsidTr="00221F19">
        <w:tc>
          <w:tcPr>
            <w:tcW w:w="1709" w:type="dxa"/>
          </w:tcPr>
          <w:p w14:paraId="334F3820" w14:textId="61D5A3A7" w:rsidR="006D3058" w:rsidRPr="00FA3243" w:rsidRDefault="00271ACF" w:rsidP="00836C9A">
            <w:pPr>
              <w:pStyle w:val="BGBHead"/>
              <w:spacing w:after="0" w:line="276" w:lineRule="auto"/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§ </w:t>
            </w:r>
            <w:r w:rsidR="005C47DB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80</w:t>
            </w:r>
            <w:r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Abs. 1 Nr. 16 und 18 BPersVG bzw. entsprechende landesgesetzliche Regelungen</w:t>
            </w:r>
            <w:r w:rsidR="006D3058" w:rsidRPr="00FA3243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6976" w:type="dxa"/>
          </w:tcPr>
          <w:p w14:paraId="0128E351" w14:textId="410FE9C5" w:rsidR="006D3058" w:rsidRPr="00FA3243" w:rsidRDefault="006D3058" w:rsidP="00836C9A">
            <w:pPr>
              <w:pStyle w:val="StandardWeb"/>
              <w:spacing w:line="276" w:lineRule="auto"/>
            </w:pPr>
            <w:r w:rsidRPr="00FA3243">
              <w:rPr>
                <w:rFonts w:asciiTheme="minorHAnsi" w:hAnsiTheme="minorHAnsi" w:cstheme="minorHAnsi"/>
                <w:b/>
                <w:color w:val="221E1F"/>
                <w:sz w:val="18"/>
                <w:szCs w:val="18"/>
              </w:rPr>
              <w:t xml:space="preserve">Spricht Sie als </w:t>
            </w:r>
            <w:r w:rsidR="00B42616">
              <w:rPr>
                <w:rFonts w:asciiTheme="minorHAnsi" w:hAnsiTheme="minorHAnsi" w:cstheme="minorHAnsi"/>
                <w:b/>
                <w:color w:val="221E1F"/>
                <w:sz w:val="18"/>
                <w:szCs w:val="18"/>
              </w:rPr>
              <w:t xml:space="preserve">Personalrat </w:t>
            </w:r>
            <w:r w:rsidRPr="00FA3243">
              <w:rPr>
                <w:rFonts w:asciiTheme="minorHAnsi" w:hAnsiTheme="minorHAnsi" w:cstheme="minorHAnsi"/>
                <w:b/>
                <w:color w:val="221E1F"/>
                <w:sz w:val="18"/>
                <w:szCs w:val="18"/>
              </w:rPr>
              <w:t>an:</w:t>
            </w:r>
            <w:r w:rsidRPr="00FA3243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>I</w:t>
            </w:r>
            <w:r w:rsidRPr="00FA3243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 xml:space="preserve">n Fragen </w:t>
            </w:r>
            <w:r w:rsidR="00B42616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 xml:space="preserve">des Gesundheitsschutzes, </w:t>
            </w:r>
            <w:r w:rsidRPr="00FA3243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 xml:space="preserve">der Ordnung </w:t>
            </w:r>
            <w:r w:rsidR="00B42616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>der Dienststelle</w:t>
            </w:r>
            <w:r w:rsidRPr="00FA3243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 xml:space="preserve"> und des Verhaltens der Arbeitnehmer sowie bei Regelungen zur Verhütung von Arbeitsunfällen und zum Gesundheitsschutz </w:t>
            </w:r>
            <w:r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 xml:space="preserve">haben Sie als </w:t>
            </w:r>
            <w:r w:rsidR="00B42616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 xml:space="preserve">Personalrat </w:t>
            </w:r>
            <w:r w:rsidRPr="00FA3243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>mitzubestimmen, soweit keine entsprechenden gesetzlichen oder verbindlichen tariflichen Regelungen bestehen</w:t>
            </w:r>
            <w:r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>. Sie können zum Beispiel Ihrem Arbeitgeber einen Vorschlag zur Vorbeugung von Alkohol am Arbeits</w:t>
            </w:r>
            <w:r w:rsidR="006E0541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 xml:space="preserve">latz machen oder alles in einer </w:t>
            </w:r>
            <w:r w:rsidR="00B42616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>Dienst</w:t>
            </w:r>
            <w:r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>vereinbarung regeln</w:t>
            </w:r>
            <w:r w:rsidR="00B42616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>.</w:t>
            </w:r>
          </w:p>
        </w:tc>
        <w:tc>
          <w:tcPr>
            <w:tcW w:w="377" w:type="dxa"/>
          </w:tcPr>
          <w:p w14:paraId="18A55D0A" w14:textId="77777777" w:rsidR="006D3058" w:rsidRDefault="006D3058" w:rsidP="00836C9A">
            <w:pPr>
              <w:pStyle w:val="BGBHea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</w:pPr>
          </w:p>
        </w:tc>
      </w:tr>
      <w:tr w:rsidR="006D3058" w14:paraId="088E2A27" w14:textId="77777777" w:rsidTr="00221F19">
        <w:tc>
          <w:tcPr>
            <w:tcW w:w="1709" w:type="dxa"/>
          </w:tcPr>
          <w:p w14:paraId="600ADBA9" w14:textId="539DBDD8" w:rsidR="006D3058" w:rsidRPr="00FA3243" w:rsidRDefault="006D3058" w:rsidP="00836C9A">
            <w:pPr>
              <w:pStyle w:val="BGBHead"/>
              <w:spacing w:after="0" w:line="276" w:lineRule="auto"/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>§ 3</w:t>
            </w:r>
            <w:r w:rsidR="006E0541">
              <w:rPr>
                <w:rFonts w:asciiTheme="minorHAnsi" w:eastAsia="Times New Roman" w:hAnsiTheme="minorHAnsi" w:cstheme="minorHAnsi"/>
                <w:b/>
                <w:color w:val="221E1F"/>
                <w:spacing w:val="0"/>
                <w:w w:val="100"/>
                <w:sz w:val="18"/>
                <w:szCs w:val="18"/>
                <w:lang w:eastAsia="de-DE"/>
              </w:rPr>
              <w:t xml:space="preserve"> EFZG</w:t>
            </w:r>
          </w:p>
        </w:tc>
        <w:tc>
          <w:tcPr>
            <w:tcW w:w="6976" w:type="dxa"/>
          </w:tcPr>
          <w:p w14:paraId="1B99BE39" w14:textId="1A881318" w:rsidR="006D3058" w:rsidRPr="00FA3243" w:rsidRDefault="006D3058" w:rsidP="00836C9A">
            <w:pPr>
              <w:pStyle w:val="StandardWeb"/>
              <w:spacing w:line="276" w:lineRule="auto"/>
              <w:rPr>
                <w:rFonts w:asciiTheme="minorHAnsi" w:hAnsiTheme="minorHAnsi" w:cstheme="minorHAnsi"/>
                <w:b/>
                <w:color w:val="221E1F"/>
                <w:sz w:val="18"/>
                <w:szCs w:val="18"/>
              </w:rPr>
            </w:pPr>
            <w:r w:rsidRPr="00565A92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 xml:space="preserve">Da Sucht als Krankheit angesehen wird, haben die betroffenen Kollegen auch einen Anspruch auf Lohnfortzahlung, auch wenn die Sucht „selbstverschuldet“ ist. Das geht aus § 3 Abs. 1 S. 1 </w:t>
            </w:r>
            <w:r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>EFZ</w:t>
            </w:r>
            <w:r w:rsidR="006E0541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>G</w:t>
            </w:r>
            <w:r w:rsidRPr="00565A92"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 xml:space="preserve"> hervor.</w:t>
            </w:r>
            <w:r>
              <w:rPr>
                <w:rFonts w:asciiTheme="minorHAnsi" w:hAnsiTheme="minorHAnsi" w:cstheme="minorHAnsi"/>
                <w:bCs/>
                <w:color w:val="221E1F"/>
                <w:sz w:val="18"/>
                <w:szCs w:val="18"/>
              </w:rPr>
              <w:t xml:space="preserve"> Dies ist allerdings nur der Fall, wenn die Abhängigkeit ärztlich bestätigt ist. </w:t>
            </w:r>
          </w:p>
        </w:tc>
        <w:tc>
          <w:tcPr>
            <w:tcW w:w="377" w:type="dxa"/>
          </w:tcPr>
          <w:p w14:paraId="74234800" w14:textId="77777777" w:rsidR="006D3058" w:rsidRDefault="006D3058" w:rsidP="00836C9A">
            <w:pPr>
              <w:pStyle w:val="BGBHea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221E1F"/>
                <w:spacing w:val="0"/>
                <w:w w:val="100"/>
                <w:sz w:val="18"/>
                <w:szCs w:val="18"/>
                <w:lang w:eastAsia="de-DE"/>
              </w:rPr>
            </w:pPr>
          </w:p>
        </w:tc>
      </w:tr>
    </w:tbl>
    <w:p w14:paraId="50F3E146" w14:textId="77777777" w:rsidR="006D3058" w:rsidRDefault="006D3058" w:rsidP="006D3058">
      <w:pPr>
        <w:pStyle w:val="BGBHead"/>
        <w:spacing w:after="0" w:line="276" w:lineRule="auto"/>
        <w:rPr>
          <w:rFonts w:asciiTheme="minorHAnsi" w:eastAsia="Times New Roman" w:hAnsiTheme="minorHAnsi" w:cstheme="minorHAnsi"/>
          <w:bCs/>
          <w:color w:val="221E1F"/>
          <w:spacing w:val="0"/>
          <w:w w:val="100"/>
          <w:sz w:val="18"/>
          <w:szCs w:val="18"/>
          <w:lang w:eastAsia="de-DE"/>
        </w:rPr>
      </w:pPr>
    </w:p>
    <w:p w14:paraId="658330C1" w14:textId="4A3A493A" w:rsidR="003B569F" w:rsidRPr="006D3058" w:rsidRDefault="003B569F" w:rsidP="006D3058"/>
    <w:sectPr w:rsidR="003B569F" w:rsidRPr="006D30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47F27"/>
    <w:multiLevelType w:val="hybridMultilevel"/>
    <w:tmpl w:val="2C74E134"/>
    <w:lvl w:ilvl="0" w:tplc="3384D6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293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9F"/>
    <w:rsid w:val="00221F19"/>
    <w:rsid w:val="00271ACF"/>
    <w:rsid w:val="003B569F"/>
    <w:rsid w:val="0045660E"/>
    <w:rsid w:val="004C3249"/>
    <w:rsid w:val="005C47DB"/>
    <w:rsid w:val="006D3058"/>
    <w:rsid w:val="006E0541"/>
    <w:rsid w:val="00941175"/>
    <w:rsid w:val="00B42616"/>
    <w:rsid w:val="00C85509"/>
    <w:rsid w:val="00F7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5A40"/>
  <w15:chartTrackingRefBased/>
  <w15:docId w15:val="{65C3D61D-D8DC-4F67-A103-21DADC28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56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5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5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5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5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5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5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5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5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5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5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5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56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56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56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56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56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56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5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5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5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56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56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56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5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56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569F"/>
    <w:rPr>
      <w:b/>
      <w:bCs/>
      <w:smallCaps/>
      <w:color w:val="0F4761" w:themeColor="accent1" w:themeShade="BF"/>
      <w:spacing w:val="5"/>
    </w:rPr>
  </w:style>
  <w:style w:type="paragraph" w:customStyle="1" w:styleId="BGBHead">
    <w:name w:val="BGB_Head"/>
    <w:qFormat/>
    <w:rsid w:val="003B569F"/>
    <w:pPr>
      <w:adjustRightInd w:val="0"/>
      <w:spacing w:after="220" w:line="560" w:lineRule="exact"/>
    </w:pPr>
    <w:rPr>
      <w:rFonts w:ascii="Tahoma" w:hAnsi="Tahoma" w:cs="Tahoma"/>
      <w:color w:val="00A09B"/>
      <w:spacing w:val="-4"/>
      <w:w w:val="97"/>
      <w:kern w:val="0"/>
      <w:sz w:val="44"/>
      <w14:ligatures w14:val="none"/>
    </w:rPr>
  </w:style>
  <w:style w:type="paragraph" w:styleId="StandardWeb">
    <w:name w:val="Normal (Web)"/>
    <w:basedOn w:val="Standard"/>
    <w:link w:val="StandardWebZchn"/>
    <w:uiPriority w:val="99"/>
    <w:unhideWhenUsed/>
    <w:rsid w:val="006D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aliases w:val="TabellenrasterBlau"/>
    <w:basedOn w:val="NormaleTabelle"/>
    <w:rsid w:val="006D30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WebZchn">
    <w:name w:val="Standard (Web) Zchn"/>
    <w:basedOn w:val="Absatz-Standardschriftart"/>
    <w:link w:val="StandardWeb"/>
    <w:uiPriority w:val="99"/>
    <w:rsid w:val="006D3058"/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Natalie Hölscher</cp:lastModifiedBy>
  <cp:revision>2</cp:revision>
  <dcterms:created xsi:type="dcterms:W3CDTF">2025-08-11T12:35:00Z</dcterms:created>
  <dcterms:modified xsi:type="dcterms:W3CDTF">2025-08-11T12:35:00Z</dcterms:modified>
</cp:coreProperties>
</file>