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7E3E34" w14:textId="77777777" w:rsidR="00706678" w:rsidRDefault="00706678"/>
    <w:p w14:paraId="7EC2495E" w14:textId="77777777" w:rsidR="00706678" w:rsidRPr="00DC6E45" w:rsidRDefault="00706678" w:rsidP="00706678">
      <w:pPr>
        <w:rPr>
          <w:b/>
          <w:bCs/>
        </w:rPr>
      </w:pPr>
      <w:r w:rsidRPr="00DC6E45">
        <w:rPr>
          <w:b/>
          <w:bCs/>
        </w:rPr>
        <w:t xml:space="preserve">Übersicht: </w:t>
      </w:r>
      <w:r>
        <w:rPr>
          <w:b/>
          <w:bCs/>
        </w:rPr>
        <w:t xml:space="preserve">Urteilsfälle, in denen der </w:t>
      </w:r>
      <w:r w:rsidRPr="00DC6E45">
        <w:rPr>
          <w:b/>
          <w:bCs/>
        </w:rPr>
        <w:t>Beweiswert einer AU erschüttert</w:t>
      </w:r>
      <w:r>
        <w:rPr>
          <w:b/>
          <w:bCs/>
        </w:rPr>
        <w:t xml:space="preserve"> war</w:t>
      </w:r>
    </w:p>
    <w:p w14:paraId="7E859DD2" w14:textId="77777777" w:rsidR="00706678" w:rsidRDefault="00706678" w:rsidP="00706678"/>
    <w:tbl>
      <w:tblPr>
        <w:tblStyle w:val="Tabellenraster"/>
        <w:tblW w:w="0" w:type="auto"/>
        <w:tblLook w:val="04A0" w:firstRow="1" w:lastRow="0" w:firstColumn="1" w:lastColumn="0" w:noHBand="0" w:noVBand="1"/>
      </w:tblPr>
      <w:tblGrid>
        <w:gridCol w:w="9056"/>
      </w:tblGrid>
      <w:tr w:rsidR="00706678" w:rsidRPr="00F86E75" w14:paraId="31A69F02" w14:textId="77777777" w:rsidTr="00F812C6">
        <w:tc>
          <w:tcPr>
            <w:tcW w:w="9056" w:type="dxa"/>
          </w:tcPr>
          <w:p w14:paraId="67047919" w14:textId="77777777" w:rsidR="00706678" w:rsidRPr="00F86E75" w:rsidRDefault="00706678" w:rsidP="00F812C6">
            <w:pPr>
              <w:rPr>
                <w:rFonts w:asciiTheme="minorHAnsi" w:hAnsiTheme="minorHAnsi"/>
                <w:sz w:val="24"/>
                <w:szCs w:val="24"/>
              </w:rPr>
            </w:pPr>
            <w:r w:rsidRPr="00F86E75">
              <w:rPr>
                <w:rFonts w:asciiTheme="minorHAnsi" w:hAnsiTheme="minorHAnsi"/>
                <w:sz w:val="24"/>
                <w:szCs w:val="24"/>
              </w:rPr>
              <w:t>Der Beweiswert von AU-Bescheinigungen kann erschüttert sein, wenn der arbeitsunfähige Arbeitnehmer nach Zugang der Kündigung eine oder mehrere Folgebescheinigungen vorlegt, die passgenau die Dauer der Kündigungsfrist umfassen und der Betroffene unmittelbar nach Beendigung seines Arbeitsverhältnisses eine neue Beschäftigung aufnimmt.</w:t>
            </w:r>
          </w:p>
        </w:tc>
      </w:tr>
      <w:tr w:rsidR="00706678" w:rsidRPr="00F86E75" w14:paraId="7E2B863D" w14:textId="77777777" w:rsidTr="00F812C6">
        <w:tc>
          <w:tcPr>
            <w:tcW w:w="9056" w:type="dxa"/>
          </w:tcPr>
          <w:p w14:paraId="602ECAEB" w14:textId="77777777" w:rsidR="00706678" w:rsidRPr="00F86E75" w:rsidRDefault="00706678" w:rsidP="00F812C6">
            <w:pPr>
              <w:rPr>
                <w:rFonts w:asciiTheme="minorHAnsi" w:hAnsiTheme="minorHAnsi"/>
                <w:sz w:val="24"/>
                <w:szCs w:val="24"/>
              </w:rPr>
            </w:pPr>
            <w:r w:rsidRPr="00F86E75">
              <w:rPr>
                <w:rFonts w:asciiTheme="minorHAnsi" w:hAnsiTheme="minorHAnsi"/>
                <w:sz w:val="24"/>
                <w:szCs w:val="24"/>
              </w:rPr>
              <w:t>Die AU-Bescheinigung war 5 Tage rückwirkend ausgestellt worden. Hier ging der Arbeitgeber von einer Gefälligkeit des Arztes gegenüber seinem Patienten aus und bekam Recht.</w:t>
            </w:r>
          </w:p>
        </w:tc>
      </w:tr>
      <w:tr w:rsidR="00706678" w:rsidRPr="00F86E75" w14:paraId="6727F080" w14:textId="77777777" w:rsidTr="00F812C6">
        <w:tc>
          <w:tcPr>
            <w:tcW w:w="9056" w:type="dxa"/>
          </w:tcPr>
          <w:p w14:paraId="66C9CF70" w14:textId="77777777" w:rsidR="00706678" w:rsidRPr="00F86E75" w:rsidRDefault="00706678" w:rsidP="00F812C6">
            <w:pPr>
              <w:rPr>
                <w:rFonts w:asciiTheme="minorHAnsi" w:hAnsiTheme="minorHAnsi"/>
                <w:sz w:val="24"/>
                <w:szCs w:val="24"/>
              </w:rPr>
            </w:pPr>
            <w:r w:rsidRPr="00F86E75">
              <w:rPr>
                <w:rFonts w:asciiTheme="minorHAnsi" w:hAnsiTheme="minorHAnsi"/>
                <w:sz w:val="24"/>
                <w:szCs w:val="24"/>
              </w:rPr>
              <w:t>Die Krankschreibung eines erkrankten Kollegen wird für länger als 2 Wochen ausgestellt. Hier darf Ihr Arbeitgeber Zweifel haben; vor allem vor dem Hintergrund, dass die für Ärzte relevante Arbeitsunfähigkeits-Richtlinie vorsieht, dass eine Erkrankung grundsätzlich nur 2 Wochen im Voraus bescheinigt werden darf.</w:t>
            </w:r>
          </w:p>
        </w:tc>
      </w:tr>
      <w:tr w:rsidR="00706678" w:rsidRPr="00F86E75" w14:paraId="427DC782" w14:textId="77777777" w:rsidTr="00F812C6">
        <w:tc>
          <w:tcPr>
            <w:tcW w:w="9056" w:type="dxa"/>
          </w:tcPr>
          <w:p w14:paraId="02423F29" w14:textId="77777777" w:rsidR="00706678" w:rsidRPr="00F86E75" w:rsidRDefault="00706678" w:rsidP="00F812C6">
            <w:pPr>
              <w:rPr>
                <w:rFonts w:asciiTheme="minorHAnsi" w:hAnsiTheme="minorHAnsi"/>
                <w:sz w:val="24"/>
                <w:szCs w:val="24"/>
              </w:rPr>
            </w:pPr>
            <w:r w:rsidRPr="00F86E75">
              <w:rPr>
                <w:rFonts w:asciiTheme="minorHAnsi" w:hAnsiTheme="minorHAnsi"/>
                <w:sz w:val="24"/>
                <w:szCs w:val="24"/>
              </w:rPr>
              <w:t>Eine Kollegin kündigt ihr Arbeitsverhältnis nach einem Streit und legt eine AU vor, die genau bis zum Ende der Kündigungsfrist andauert.</w:t>
            </w:r>
          </w:p>
        </w:tc>
      </w:tr>
      <w:tr w:rsidR="00706678" w:rsidRPr="00F86E75" w14:paraId="4D51E6C1" w14:textId="77777777" w:rsidTr="00F812C6">
        <w:tc>
          <w:tcPr>
            <w:tcW w:w="9056" w:type="dxa"/>
          </w:tcPr>
          <w:p w14:paraId="6E5BA83C" w14:textId="77777777" w:rsidR="00706678" w:rsidRPr="00F86E75" w:rsidRDefault="00706678" w:rsidP="00F812C6">
            <w:pPr>
              <w:rPr>
                <w:rFonts w:asciiTheme="minorHAnsi" w:hAnsiTheme="minorHAnsi"/>
                <w:sz w:val="24"/>
                <w:szCs w:val="24"/>
              </w:rPr>
            </w:pPr>
            <w:r w:rsidRPr="00F86E75">
              <w:rPr>
                <w:rFonts w:asciiTheme="minorHAnsi" w:hAnsiTheme="minorHAnsi"/>
                <w:sz w:val="24"/>
                <w:szCs w:val="24"/>
              </w:rPr>
              <w:t>Ein Arbeitnehmer hatte einen Urlaubsanspruch eingereicht. Diesen hatte der Arbeitgeber abgelehnt. Der Arbeitnehmer reicht darauf hin für den entsprechende Zeitraum eine AU-Bescheinigung ein.</w:t>
            </w:r>
          </w:p>
        </w:tc>
      </w:tr>
      <w:tr w:rsidR="00706678" w:rsidRPr="00F86E75" w14:paraId="72F6C677" w14:textId="77777777" w:rsidTr="00F812C6">
        <w:tc>
          <w:tcPr>
            <w:tcW w:w="9056" w:type="dxa"/>
          </w:tcPr>
          <w:p w14:paraId="5A0E5599" w14:textId="77777777" w:rsidR="00706678" w:rsidRPr="00F86E75" w:rsidRDefault="00706678" w:rsidP="00F812C6">
            <w:pPr>
              <w:rPr>
                <w:rFonts w:asciiTheme="minorHAnsi" w:hAnsiTheme="minorHAnsi"/>
                <w:sz w:val="24"/>
                <w:szCs w:val="24"/>
              </w:rPr>
            </w:pPr>
            <w:r w:rsidRPr="00F86E75">
              <w:rPr>
                <w:rFonts w:asciiTheme="minorHAnsi" w:hAnsiTheme="minorHAnsi"/>
                <w:sz w:val="24"/>
                <w:szCs w:val="24"/>
              </w:rPr>
              <w:t>Obwohl ihn der Medizinische Dienst der Krankenkassen für arbeitsfähig hielt, legte der Arbeitgeber eine weitere AU vor, die seine weitere Arbeitsunfähigkeit bestätigte.</w:t>
            </w:r>
          </w:p>
        </w:tc>
      </w:tr>
    </w:tbl>
    <w:p w14:paraId="2DB7C9B7" w14:textId="77777777" w:rsidR="00706678" w:rsidRDefault="00706678"/>
    <w:sectPr w:rsidR="00706678" w:rsidSect="00F604F7">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678"/>
    <w:rsid w:val="00153551"/>
    <w:rsid w:val="002A2C6B"/>
    <w:rsid w:val="005C4A66"/>
    <w:rsid w:val="00664AAB"/>
    <w:rsid w:val="00706678"/>
    <w:rsid w:val="0094513C"/>
    <w:rsid w:val="00A7555D"/>
    <w:rsid w:val="00B86010"/>
    <w:rsid w:val="00BF2BF4"/>
    <w:rsid w:val="00EA4C1B"/>
    <w:rsid w:val="00F31319"/>
    <w:rsid w:val="00F604F7"/>
    <w:rsid w:val="00F7047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187D39"/>
  <w15:chartTrackingRefBased/>
  <w15:docId w15:val="{7C2ED756-5E9A-5040-9D5B-F415ADE6E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70667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70667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706678"/>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706678"/>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706678"/>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706678"/>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706678"/>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706678"/>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706678"/>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706678"/>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706678"/>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706678"/>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706678"/>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706678"/>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706678"/>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706678"/>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706678"/>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706678"/>
    <w:rPr>
      <w:rFonts w:eastAsiaTheme="majorEastAsia" w:cstheme="majorBidi"/>
      <w:color w:val="272727" w:themeColor="text1" w:themeTint="D8"/>
    </w:rPr>
  </w:style>
  <w:style w:type="paragraph" w:styleId="Titel">
    <w:name w:val="Title"/>
    <w:basedOn w:val="Standard"/>
    <w:next w:val="Standard"/>
    <w:link w:val="TitelZchn"/>
    <w:uiPriority w:val="10"/>
    <w:qFormat/>
    <w:rsid w:val="00706678"/>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706678"/>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706678"/>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706678"/>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706678"/>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706678"/>
    <w:rPr>
      <w:i/>
      <w:iCs/>
      <w:color w:val="404040" w:themeColor="text1" w:themeTint="BF"/>
    </w:rPr>
  </w:style>
  <w:style w:type="paragraph" w:styleId="Listenabsatz">
    <w:name w:val="List Paragraph"/>
    <w:basedOn w:val="Standard"/>
    <w:uiPriority w:val="34"/>
    <w:qFormat/>
    <w:rsid w:val="00706678"/>
    <w:pPr>
      <w:ind w:left="720"/>
      <w:contextualSpacing/>
    </w:pPr>
  </w:style>
  <w:style w:type="character" w:styleId="IntensiveHervorhebung">
    <w:name w:val="Intense Emphasis"/>
    <w:basedOn w:val="Absatz-Standardschriftart"/>
    <w:uiPriority w:val="21"/>
    <w:qFormat/>
    <w:rsid w:val="00706678"/>
    <w:rPr>
      <w:i/>
      <w:iCs/>
      <w:color w:val="0F4761" w:themeColor="accent1" w:themeShade="BF"/>
    </w:rPr>
  </w:style>
  <w:style w:type="paragraph" w:styleId="IntensivesZitat">
    <w:name w:val="Intense Quote"/>
    <w:basedOn w:val="Standard"/>
    <w:next w:val="Standard"/>
    <w:link w:val="IntensivesZitatZchn"/>
    <w:uiPriority w:val="30"/>
    <w:qFormat/>
    <w:rsid w:val="007066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706678"/>
    <w:rPr>
      <w:i/>
      <w:iCs/>
      <w:color w:val="0F4761" w:themeColor="accent1" w:themeShade="BF"/>
    </w:rPr>
  </w:style>
  <w:style w:type="character" w:styleId="IntensiverVerweis">
    <w:name w:val="Intense Reference"/>
    <w:basedOn w:val="Absatz-Standardschriftart"/>
    <w:uiPriority w:val="32"/>
    <w:qFormat/>
    <w:rsid w:val="00706678"/>
    <w:rPr>
      <w:b/>
      <w:bCs/>
      <w:smallCaps/>
      <w:color w:val="0F4761" w:themeColor="accent1" w:themeShade="BF"/>
      <w:spacing w:val="5"/>
    </w:rPr>
  </w:style>
  <w:style w:type="table" w:styleId="Tabellenraster">
    <w:name w:val="Table Grid"/>
    <w:basedOn w:val="NormaleTabelle"/>
    <w:uiPriority w:val="59"/>
    <w:rsid w:val="00706678"/>
    <w:rPr>
      <w:rFonts w:ascii="Times New Roman" w:eastAsia="Times New Roman" w:hAnsi="Times New Roman" w:cs="Times New Roman"/>
      <w:kern w:val="0"/>
      <w:sz w:val="20"/>
      <w:szCs w:val="20"/>
      <w:lang w:eastAsia="de-D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191</Words>
  <Characters>1209</Characters>
  <Application>Microsoft Office Word</Application>
  <DocSecurity>0</DocSecurity>
  <Lines>10</Lines>
  <Paragraphs>2</Paragraphs>
  <ScaleCrop>false</ScaleCrop>
  <Company/>
  <LinksUpToDate>false</LinksUpToDate>
  <CharactersWithSpaces>1398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Friederike Becker-Lerchner</dc:creator>
  <cp:keywords/>
  <dc:description/>
  <cp:lastModifiedBy>Natalie Hölscher</cp:lastModifiedBy>
  <cp:revision>2</cp:revision>
  <dcterms:created xsi:type="dcterms:W3CDTF">2025-09-01T17:35:00Z</dcterms:created>
  <dcterms:modified xsi:type="dcterms:W3CDTF">2025-09-01T17:35:00Z</dcterms:modified>
</cp:coreProperties>
</file>