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557A" w14:paraId="5535CDEF" w14:textId="77777777" w:rsidTr="001A557A">
        <w:tc>
          <w:tcPr>
            <w:tcW w:w="4531" w:type="dxa"/>
          </w:tcPr>
          <w:p w14:paraId="60DA38E1" w14:textId="77777777" w:rsidR="001A557A" w:rsidRDefault="001A557A" w:rsidP="001A557A">
            <w:pPr>
              <w:pStyle w:val="StandardWeb"/>
            </w:pPr>
            <w:r>
              <w:t>Klausel</w:t>
            </w:r>
          </w:p>
        </w:tc>
        <w:tc>
          <w:tcPr>
            <w:tcW w:w="4531" w:type="dxa"/>
          </w:tcPr>
          <w:p w14:paraId="2EC4F69E" w14:textId="77777777" w:rsidR="001A557A" w:rsidRDefault="001A557A" w:rsidP="001A557A">
            <w:pPr>
              <w:pStyle w:val="StandardWeb"/>
            </w:pPr>
            <w:r>
              <w:t>Erläuterung</w:t>
            </w:r>
          </w:p>
        </w:tc>
      </w:tr>
      <w:tr w:rsidR="001A557A" w14:paraId="514A5CBD" w14:textId="77777777" w:rsidTr="001A557A">
        <w:tc>
          <w:tcPr>
            <w:tcW w:w="4531" w:type="dxa"/>
          </w:tcPr>
          <w:p w14:paraId="0C2A2F0E" w14:textId="77777777" w:rsidR="001A557A" w:rsidRDefault="001A557A" w:rsidP="001A557A">
            <w:pPr>
              <w:pStyle w:val="StandardWeb"/>
            </w:pPr>
            <w:r>
              <w:t>Präambel</w:t>
            </w:r>
          </w:p>
        </w:tc>
        <w:tc>
          <w:tcPr>
            <w:tcW w:w="4531" w:type="dxa"/>
          </w:tcPr>
          <w:p w14:paraId="495BEEC6" w14:textId="77777777" w:rsidR="001A557A" w:rsidRDefault="001A557A" w:rsidP="001A557A">
            <w:pPr>
              <w:pStyle w:val="StandardWeb"/>
            </w:pPr>
            <w:r>
              <w:t>Geben Sie vor allem der Belegschaft als Adressat ein kleines „Geleitwort“ an die Hand, worum es Ihnen mit der Dienstvereinbarung geht.</w:t>
            </w:r>
          </w:p>
          <w:p w14:paraId="66E3EEBB" w14:textId="77777777" w:rsidR="001A557A" w:rsidRDefault="001A557A" w:rsidP="001A557A">
            <w:pPr>
              <w:pStyle w:val="StandardWeb"/>
            </w:pPr>
          </w:p>
        </w:tc>
      </w:tr>
      <w:tr w:rsidR="001A557A" w14:paraId="15E7F37B" w14:textId="77777777" w:rsidTr="001A557A">
        <w:tc>
          <w:tcPr>
            <w:tcW w:w="4531" w:type="dxa"/>
          </w:tcPr>
          <w:p w14:paraId="2CD4B293" w14:textId="77777777" w:rsidR="001A557A" w:rsidRDefault="001A557A" w:rsidP="001A557A">
            <w:pPr>
              <w:pStyle w:val="StandardWeb"/>
            </w:pPr>
            <w:r>
              <w:t>Geltungsbereich</w:t>
            </w:r>
          </w:p>
        </w:tc>
        <w:tc>
          <w:tcPr>
            <w:tcW w:w="4531" w:type="dxa"/>
          </w:tcPr>
          <w:p w14:paraId="76D38B2A" w14:textId="77777777" w:rsidR="001A557A" w:rsidRDefault="001A557A" w:rsidP="001A557A">
            <w:pPr>
              <w:pStyle w:val="StandardWeb"/>
            </w:pPr>
            <w:r>
              <w:t xml:space="preserve">Definieren Sie den sachlichen und persönlichen Geltungsbereich der Dienstvereinbarung – beispielsweise alle Mitarbeiter der Einrichtung. </w:t>
            </w:r>
          </w:p>
          <w:p w14:paraId="2C8EBB53" w14:textId="77777777" w:rsidR="001A557A" w:rsidRDefault="001A557A" w:rsidP="001A557A">
            <w:pPr>
              <w:pStyle w:val="StandardWeb"/>
            </w:pPr>
            <w:r>
              <w:t>In größeren Einrichtungen kann es aber auch sinnvoll sein, gesonderte Dienstvereinbarungen für einzelne Abteilungen oder Mitarbeitergruppen abzuschließen.</w:t>
            </w:r>
          </w:p>
          <w:p w14:paraId="7AB53CBC" w14:textId="77777777" w:rsidR="001A557A" w:rsidRDefault="001A557A" w:rsidP="001A557A">
            <w:pPr>
              <w:pStyle w:val="StandardWeb"/>
            </w:pPr>
          </w:p>
        </w:tc>
      </w:tr>
      <w:tr w:rsidR="001A557A" w14:paraId="568FAE01" w14:textId="77777777" w:rsidTr="001A557A">
        <w:tc>
          <w:tcPr>
            <w:tcW w:w="4531" w:type="dxa"/>
          </w:tcPr>
          <w:p w14:paraId="7E7480D5" w14:textId="77777777" w:rsidR="001A557A" w:rsidRDefault="001A557A" w:rsidP="001A557A">
            <w:pPr>
              <w:pStyle w:val="StandardWeb"/>
            </w:pPr>
            <w:r>
              <w:t>Maßnahmenkatalog</w:t>
            </w:r>
          </w:p>
        </w:tc>
        <w:tc>
          <w:tcPr>
            <w:tcW w:w="4531" w:type="dxa"/>
          </w:tcPr>
          <w:p w14:paraId="567F72B3" w14:textId="77777777" w:rsidR="001A557A" w:rsidRDefault="001A557A" w:rsidP="001A557A">
            <w:pPr>
              <w:pStyle w:val="StandardWeb"/>
            </w:pPr>
            <w:r>
              <w:t>Stellen Sie einen Katalog auf, welche Maßnahmen Sie gemeinsam mit dem Dienstgeber ergreifen wollen, z.</w:t>
            </w:r>
            <w:r w:rsidR="00FD4659">
              <w:t xml:space="preserve"> </w:t>
            </w:r>
            <w:r>
              <w:t>B.</w:t>
            </w:r>
            <w:r w:rsidR="00FD4659">
              <w:t>:</w:t>
            </w:r>
          </w:p>
          <w:p w14:paraId="72601883" w14:textId="777777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>Bestimmung eines Mobbingbeauftragten</w:t>
            </w:r>
          </w:p>
          <w:p w14:paraId="6B995179" w14:textId="777777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>Präventionsmaßnahmen wie Schulungen, Umfragen, Beratung</w:t>
            </w:r>
          </w:p>
          <w:p w14:paraId="73D780C5" w14:textId="777777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>Konfliktlösungsverfahren</w:t>
            </w:r>
          </w:p>
          <w:p w14:paraId="2D740279" w14:textId="77777777" w:rsidR="001A557A" w:rsidRDefault="001A557A" w:rsidP="001A557A">
            <w:pPr>
              <w:pStyle w:val="StandardWeb"/>
            </w:pPr>
          </w:p>
        </w:tc>
      </w:tr>
      <w:tr w:rsidR="001A557A" w14:paraId="6075CB36" w14:textId="77777777" w:rsidTr="001A557A">
        <w:tc>
          <w:tcPr>
            <w:tcW w:w="4531" w:type="dxa"/>
          </w:tcPr>
          <w:p w14:paraId="6113323B" w14:textId="77777777" w:rsidR="001A557A" w:rsidRDefault="001A557A" w:rsidP="001A557A">
            <w:pPr>
              <w:pStyle w:val="StandardWeb"/>
            </w:pPr>
            <w:r>
              <w:t>Ausführung der Maßnahmen</w:t>
            </w:r>
          </w:p>
        </w:tc>
        <w:tc>
          <w:tcPr>
            <w:tcW w:w="4531" w:type="dxa"/>
          </w:tcPr>
          <w:p w14:paraId="387AE16B" w14:textId="77777777" w:rsidR="001A557A" w:rsidRDefault="001A557A" w:rsidP="001A557A">
            <w:pPr>
              <w:pStyle w:val="StandardWeb"/>
            </w:pPr>
            <w:r>
              <w:t>Stellen Sie möglichst präzise dar, wie die einzelnen Maßnahmen konkret aussehen sollen, z.</w:t>
            </w:r>
            <w:r w:rsidR="00FD4659">
              <w:t xml:space="preserve"> </w:t>
            </w:r>
            <w:r>
              <w:t xml:space="preserve">B. durch </w:t>
            </w:r>
          </w:p>
          <w:p w14:paraId="5D26937F" w14:textId="777777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>Beschreibung eines Wahlverfahrens für den Mobbingbeauftragten,</w:t>
            </w:r>
          </w:p>
          <w:p w14:paraId="2BF54FDF" w14:textId="227ECA92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>inhaltliche Anforderungen an Präventionsmaßnahmen und</w:t>
            </w:r>
          </w:p>
          <w:p w14:paraId="7D05E497" w14:textId="752E0F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>Ablaufbeschreibungen für Konfliktlösungsverfahren</w:t>
            </w:r>
            <w:r w:rsidR="00FD4659">
              <w:t>.</w:t>
            </w:r>
          </w:p>
          <w:p w14:paraId="661F791A" w14:textId="77777777" w:rsidR="001A557A" w:rsidRDefault="001A557A" w:rsidP="001A557A">
            <w:pPr>
              <w:pStyle w:val="StandardWeb"/>
            </w:pPr>
          </w:p>
        </w:tc>
      </w:tr>
      <w:tr w:rsidR="001A557A" w14:paraId="3E401DCC" w14:textId="77777777" w:rsidTr="001A557A">
        <w:tc>
          <w:tcPr>
            <w:tcW w:w="4531" w:type="dxa"/>
          </w:tcPr>
          <w:p w14:paraId="2201BE9F" w14:textId="77777777" w:rsidR="001A557A" w:rsidRDefault="001A557A" w:rsidP="001A557A">
            <w:pPr>
              <w:pStyle w:val="StandardWeb"/>
            </w:pPr>
            <w:r>
              <w:t>Reaktionsmöglichkeiten des Dienstgebers</w:t>
            </w:r>
          </w:p>
        </w:tc>
        <w:tc>
          <w:tcPr>
            <w:tcW w:w="4531" w:type="dxa"/>
          </w:tcPr>
          <w:p w14:paraId="37FA91BC" w14:textId="77777777" w:rsidR="001A557A" w:rsidRDefault="001A557A" w:rsidP="001A557A">
            <w:pPr>
              <w:pStyle w:val="StandardWeb"/>
            </w:pPr>
            <w:r>
              <w:t xml:space="preserve">Es kann sinnvoll sein, im Sinne der Transparenz die allgemeinen Reaktionsmöglichkeiten des Dienstgebers bei Mobbing wie </w:t>
            </w:r>
          </w:p>
          <w:p w14:paraId="22B5A713" w14:textId="777777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 xml:space="preserve">Abmahnung, </w:t>
            </w:r>
          </w:p>
          <w:p w14:paraId="2DD74C36" w14:textId="777777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t xml:space="preserve">Kündigung und </w:t>
            </w:r>
          </w:p>
          <w:p w14:paraId="379371F5" w14:textId="77777777" w:rsidR="001A557A" w:rsidRDefault="001A557A" w:rsidP="001A557A">
            <w:pPr>
              <w:pStyle w:val="StandardWeb"/>
              <w:numPr>
                <w:ilvl w:val="0"/>
                <w:numId w:val="1"/>
              </w:numPr>
            </w:pPr>
            <w:r>
              <w:lastRenderedPageBreak/>
              <w:t xml:space="preserve">Versetzung </w:t>
            </w:r>
          </w:p>
          <w:p w14:paraId="2E87A2A4" w14:textId="77777777" w:rsidR="001A557A" w:rsidRDefault="001A557A" w:rsidP="001A557A">
            <w:pPr>
              <w:pStyle w:val="StandardWeb"/>
              <w:ind w:left="360"/>
            </w:pPr>
            <w:r>
              <w:t xml:space="preserve">zu benennen. </w:t>
            </w:r>
          </w:p>
          <w:p w14:paraId="247730DE" w14:textId="77777777" w:rsidR="001A557A" w:rsidRDefault="001A557A" w:rsidP="001A557A">
            <w:pPr>
              <w:pStyle w:val="StandardWeb"/>
              <w:ind w:left="360"/>
            </w:pPr>
            <w:r>
              <w:t>Bedenken Sie dabei aber, dass es nicht möglich ist, konkrete Kündigungsgründe in einer Dienstvereinbarung zu definieren. Dies ist allein dem Gesetz und der Rechtsprechung vorbehalten.</w:t>
            </w:r>
          </w:p>
          <w:p w14:paraId="0B9A6C79" w14:textId="77777777" w:rsidR="001A557A" w:rsidRDefault="001A557A" w:rsidP="001A557A">
            <w:pPr>
              <w:pStyle w:val="StandardWeb"/>
            </w:pPr>
          </w:p>
        </w:tc>
      </w:tr>
      <w:tr w:rsidR="001A557A" w14:paraId="2549C593" w14:textId="77777777" w:rsidTr="001A557A">
        <w:tc>
          <w:tcPr>
            <w:tcW w:w="4531" w:type="dxa"/>
          </w:tcPr>
          <w:p w14:paraId="3CC3EBA8" w14:textId="77777777" w:rsidR="001A557A" w:rsidRDefault="001A557A" w:rsidP="001A557A">
            <w:pPr>
              <w:pStyle w:val="StandardWeb"/>
            </w:pPr>
            <w:r>
              <w:lastRenderedPageBreak/>
              <w:t>Bekanntmachung und Information</w:t>
            </w:r>
          </w:p>
        </w:tc>
        <w:tc>
          <w:tcPr>
            <w:tcW w:w="4531" w:type="dxa"/>
          </w:tcPr>
          <w:p w14:paraId="43346FFC" w14:textId="77777777" w:rsidR="001A557A" w:rsidRDefault="001A557A" w:rsidP="001A557A">
            <w:pPr>
              <w:pStyle w:val="StandardWeb"/>
            </w:pPr>
            <w:r>
              <w:t xml:space="preserve">Legen Sie fest, auf welche Weise die Dienstvereinbarung und das Thema Mobbing in der Einrichtung bekannt gemacht werden sollen. </w:t>
            </w:r>
          </w:p>
          <w:p w14:paraId="4DB8FC39" w14:textId="77777777" w:rsidR="001A557A" w:rsidRDefault="001A557A" w:rsidP="001A557A">
            <w:pPr>
              <w:pStyle w:val="StandardWeb"/>
            </w:pPr>
            <w:r>
              <w:t xml:space="preserve">Denken Sie daran, dass dies eine wichtige Voraussetzung dafür ist, eine solche Vereinbarung mit Leben zu füllen. </w:t>
            </w:r>
          </w:p>
          <w:p w14:paraId="4CB10334" w14:textId="03142C90" w:rsidR="001A557A" w:rsidRDefault="001A557A" w:rsidP="001A557A">
            <w:pPr>
              <w:pStyle w:val="StandardWeb"/>
            </w:pPr>
            <w:r>
              <w:t>Besser als eine bloße Kommunikation per E-Mail oder im Intranet ist sicherlich eine „Live</w:t>
            </w:r>
            <w:r w:rsidR="00FD4659">
              <w:t>v</w:t>
            </w:r>
            <w:r>
              <w:t>eranstaltung“</w:t>
            </w:r>
            <w:r w:rsidR="00624E71">
              <w:t>.</w:t>
            </w:r>
            <w:r>
              <w:t xml:space="preserve"> Das dürfte insbesondere auch mehr Akzeptanz bei der Belegschaft schaffen.</w:t>
            </w:r>
          </w:p>
          <w:p w14:paraId="3DD4BC54" w14:textId="77777777" w:rsidR="001A557A" w:rsidRDefault="001A557A" w:rsidP="001A557A">
            <w:pPr>
              <w:pStyle w:val="StandardWeb"/>
            </w:pPr>
          </w:p>
        </w:tc>
      </w:tr>
      <w:tr w:rsidR="001A557A" w14:paraId="2C772C61" w14:textId="77777777" w:rsidTr="001A557A">
        <w:tc>
          <w:tcPr>
            <w:tcW w:w="4531" w:type="dxa"/>
          </w:tcPr>
          <w:p w14:paraId="1A2D50D3" w14:textId="77777777" w:rsidR="001A557A" w:rsidRDefault="001A557A" w:rsidP="001A557A">
            <w:pPr>
              <w:pStyle w:val="StandardWeb"/>
            </w:pPr>
            <w:r>
              <w:t>Inkrafttreten, Laufzeit</w:t>
            </w:r>
          </w:p>
        </w:tc>
        <w:tc>
          <w:tcPr>
            <w:tcW w:w="4531" w:type="dxa"/>
          </w:tcPr>
          <w:p w14:paraId="57827FE0" w14:textId="37FE4C2E" w:rsidR="001A557A" w:rsidRDefault="001A557A" w:rsidP="001A557A">
            <w:pPr>
              <w:pStyle w:val="StandardWeb"/>
            </w:pPr>
            <w:r>
              <w:t>Bestimmen Sie, wann die Dienstvereinbarung in Kraft treten soll und wie sie ggf. endet – z.</w:t>
            </w:r>
            <w:r w:rsidR="00FD4659">
              <w:t xml:space="preserve"> </w:t>
            </w:r>
            <w:r>
              <w:t>B. durch Befristung oder Kündigung mit einer bestimmten Kündigungsfrist.</w:t>
            </w:r>
          </w:p>
          <w:p w14:paraId="44708A51" w14:textId="77777777" w:rsidR="001A557A" w:rsidRDefault="001A557A" w:rsidP="001A557A">
            <w:pPr>
              <w:pStyle w:val="StandardWeb"/>
            </w:pPr>
          </w:p>
        </w:tc>
      </w:tr>
    </w:tbl>
    <w:p w14:paraId="72EE4EBD" w14:textId="77777777" w:rsidR="00C01EA5" w:rsidRDefault="00C01EA5"/>
    <w:sectPr w:rsidR="00C01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170"/>
    <w:multiLevelType w:val="hybridMultilevel"/>
    <w:tmpl w:val="14EAAB1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9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7A"/>
    <w:rsid w:val="001A557A"/>
    <w:rsid w:val="003D6BE5"/>
    <w:rsid w:val="00624E71"/>
    <w:rsid w:val="00770F73"/>
    <w:rsid w:val="009714C3"/>
    <w:rsid w:val="00A306F3"/>
    <w:rsid w:val="00AA61C5"/>
    <w:rsid w:val="00C01EA5"/>
    <w:rsid w:val="00ED53EE"/>
    <w:rsid w:val="00F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596F"/>
  <w15:chartTrackingRefBased/>
  <w15:docId w15:val="{6E7FB1BD-0EA5-45DF-B7A0-4DA59D86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A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A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3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tillmann</dc:creator>
  <cp:keywords/>
  <dc:description/>
  <cp:lastModifiedBy>Natalie Hölscher</cp:lastModifiedBy>
  <cp:revision>2</cp:revision>
  <dcterms:created xsi:type="dcterms:W3CDTF">2025-09-18T09:39:00Z</dcterms:created>
  <dcterms:modified xsi:type="dcterms:W3CDTF">2025-09-18T09:39:00Z</dcterms:modified>
</cp:coreProperties>
</file>