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Look w:val="04A0" w:firstRow="1" w:lastRow="0" w:firstColumn="1" w:lastColumn="0" w:noHBand="0" w:noVBand="1"/>
      </w:tblPr>
      <w:tblGrid>
        <w:gridCol w:w="8359"/>
        <w:gridCol w:w="657"/>
      </w:tblGrid>
      <w:tr w:rsidR="00E06B49" w:rsidRPr="00E06B49" w14:paraId="64D00102" w14:textId="77777777" w:rsidTr="00E14CE8">
        <w:tc>
          <w:tcPr>
            <w:tcW w:w="9016" w:type="dxa"/>
            <w:gridSpan w:val="2"/>
          </w:tcPr>
          <w:p w14:paraId="3B632004" w14:textId="77777777" w:rsidR="00E06B49" w:rsidRPr="00E06B49" w:rsidRDefault="00E06B49" w:rsidP="00E06B49">
            <w:r w:rsidRPr="00E06B49">
              <w:rPr>
                <w:b/>
              </w:rPr>
              <w:t xml:space="preserve">Checkliste: Diese Regelungen sollten zum Datenschutz festgehalten werden </w:t>
            </w:r>
          </w:p>
        </w:tc>
      </w:tr>
      <w:tr w:rsidR="00E06B49" w:rsidRPr="00E06B49" w14:paraId="2364C298" w14:textId="77777777" w:rsidTr="00E14CE8">
        <w:tc>
          <w:tcPr>
            <w:tcW w:w="8359" w:type="dxa"/>
          </w:tcPr>
          <w:p w14:paraId="1AC3957A" w14:textId="77777777" w:rsidR="00E06B49" w:rsidRPr="00E06B49" w:rsidRDefault="00E06B49" w:rsidP="00E06B49">
            <w:r w:rsidRPr="00E06B49">
              <w:t xml:space="preserve">1. Im Rahmen des BEM werden Daten zu dem Zweck erhoben, Maßnahmen der Prävention, Gesundheitsförderung und Wiedereingliederung zu entwickeln. </w:t>
            </w:r>
          </w:p>
        </w:tc>
        <w:tc>
          <w:tcPr>
            <w:tcW w:w="657" w:type="dxa"/>
          </w:tcPr>
          <w:p w14:paraId="5C4A2470" w14:textId="77777777" w:rsidR="00E06B49" w:rsidRPr="00E06B49" w:rsidRDefault="00E06B49" w:rsidP="00E06B49"/>
        </w:tc>
      </w:tr>
      <w:tr w:rsidR="00E06B49" w:rsidRPr="00E06B49" w14:paraId="0E01B4E3" w14:textId="77777777" w:rsidTr="00E14CE8">
        <w:tc>
          <w:tcPr>
            <w:tcW w:w="8359" w:type="dxa"/>
          </w:tcPr>
          <w:p w14:paraId="6B89F5E4" w14:textId="77777777" w:rsidR="00E06B49" w:rsidRPr="00E06B49" w:rsidRDefault="00E06B49" w:rsidP="00E06B49">
            <w:r w:rsidRPr="00E06B49">
              <w:t>2. Welche Daten erhoben werden, hängt von der jeweiligen Besonderheit des Falles, des Unternehmens und der Situation des Mitarbeiters ab. Grundsätzlich können die eigens aufgeführten Daten (z. B. in einem Datenblatt) erhoben werden.</w:t>
            </w:r>
          </w:p>
        </w:tc>
        <w:tc>
          <w:tcPr>
            <w:tcW w:w="657" w:type="dxa"/>
          </w:tcPr>
          <w:p w14:paraId="26AB2045" w14:textId="77777777" w:rsidR="00E06B49" w:rsidRPr="00E06B49" w:rsidRDefault="00E06B49" w:rsidP="00E06B49"/>
        </w:tc>
      </w:tr>
      <w:tr w:rsidR="00E06B49" w:rsidRPr="00E06B49" w14:paraId="4526645F" w14:textId="77777777" w:rsidTr="00E14CE8">
        <w:tc>
          <w:tcPr>
            <w:tcW w:w="8359" w:type="dxa"/>
          </w:tcPr>
          <w:p w14:paraId="72851651" w14:textId="77777777" w:rsidR="00E06B49" w:rsidRPr="00E06B49" w:rsidRDefault="00E06B49" w:rsidP="00E06B49">
            <w:r w:rsidRPr="00E06B49">
              <w:t xml:space="preserve">3. Nur autorisierte Personen können Daten auch der Personalakte entnehmen. Die Personalakte selbst wird aber nicht im BEM-Verfahren verwendet. Vielmehr wird für den Mitarbeiter eine BEM-Akte angelegt.  </w:t>
            </w:r>
          </w:p>
        </w:tc>
        <w:tc>
          <w:tcPr>
            <w:tcW w:w="657" w:type="dxa"/>
          </w:tcPr>
          <w:p w14:paraId="76B627EB" w14:textId="77777777" w:rsidR="00E06B49" w:rsidRPr="00E06B49" w:rsidRDefault="00E06B49" w:rsidP="00E06B49"/>
        </w:tc>
      </w:tr>
      <w:tr w:rsidR="00E06B49" w:rsidRPr="00E06B49" w14:paraId="0D86EF3B" w14:textId="77777777" w:rsidTr="00E14CE8">
        <w:tc>
          <w:tcPr>
            <w:tcW w:w="8359" w:type="dxa"/>
          </w:tcPr>
          <w:p w14:paraId="6CE5700B" w14:textId="77777777" w:rsidR="00E06B49" w:rsidRPr="00E06B49" w:rsidRDefault="00E06B49" w:rsidP="00E06B49">
            <w:r w:rsidRPr="00E06B49">
              <w:t>4. Die am BEM Beteiligten verwenden Informationen des Mitarbeiters, die er seinem Ansprechpartner mitteilt und die er durch vorherige schriftliche Zustimmung zur Weitergabe an Dritte (Arbeitgeber, Betriebsrat, Schwerbehindertenvertretung) freigibt.</w:t>
            </w:r>
          </w:p>
        </w:tc>
        <w:tc>
          <w:tcPr>
            <w:tcW w:w="657" w:type="dxa"/>
          </w:tcPr>
          <w:p w14:paraId="3908468A" w14:textId="77777777" w:rsidR="00E06B49" w:rsidRPr="00E06B49" w:rsidRDefault="00E06B49" w:rsidP="00E06B49"/>
        </w:tc>
      </w:tr>
      <w:tr w:rsidR="00E06B49" w:rsidRPr="00E06B49" w14:paraId="49615F37" w14:textId="77777777" w:rsidTr="00E14CE8">
        <w:tc>
          <w:tcPr>
            <w:tcW w:w="8359" w:type="dxa"/>
          </w:tcPr>
          <w:p w14:paraId="0C946EC6" w14:textId="77777777" w:rsidR="00E06B49" w:rsidRPr="00E06B49" w:rsidRDefault="00E06B49" w:rsidP="00E06B49">
            <w:r w:rsidRPr="00E06B49">
              <w:t>5. Auf personenbezogene Daten, die nicht dem Datenblatt, der Personalakte oder der BEM-Akte entnommen werden können, dürfen die Beteiligten (Arbeitgeber, Betriebsrat, Schwerbehindertenvertretung) nur mit vorheriger schriftlicher Zustimmung des Mitarbeiters zugreifen.</w:t>
            </w:r>
          </w:p>
        </w:tc>
        <w:tc>
          <w:tcPr>
            <w:tcW w:w="657" w:type="dxa"/>
          </w:tcPr>
          <w:p w14:paraId="356A4838" w14:textId="77777777" w:rsidR="00E06B49" w:rsidRPr="00E06B49" w:rsidRDefault="00E06B49" w:rsidP="00E06B49"/>
        </w:tc>
      </w:tr>
      <w:tr w:rsidR="00E06B49" w:rsidRPr="00E06B49" w14:paraId="16ECCFAA" w14:textId="77777777" w:rsidTr="00E14CE8">
        <w:tc>
          <w:tcPr>
            <w:tcW w:w="8359" w:type="dxa"/>
          </w:tcPr>
          <w:p w14:paraId="378E96C6" w14:textId="77777777" w:rsidR="00E06B49" w:rsidRPr="00E06B49" w:rsidRDefault="00E06B49" w:rsidP="00E06B49">
            <w:r w:rsidRPr="00E06B49">
              <w:t xml:space="preserve">6. Daten, die Veränderungen in der Leistung und die Leistungsfähigkeit des Mitarbeiters, Fehlbeanspruchungen oder Gesundheitsgefahren betreffen, können dem Arbeitgeber zugänglich gemacht werden. </w:t>
            </w:r>
          </w:p>
        </w:tc>
        <w:tc>
          <w:tcPr>
            <w:tcW w:w="657" w:type="dxa"/>
          </w:tcPr>
          <w:p w14:paraId="743B02F1" w14:textId="77777777" w:rsidR="00E06B49" w:rsidRPr="00E06B49" w:rsidRDefault="00E06B49" w:rsidP="00E06B49"/>
        </w:tc>
      </w:tr>
      <w:tr w:rsidR="00E06B49" w:rsidRPr="00E06B49" w14:paraId="3B83CE5D" w14:textId="77777777" w:rsidTr="00E14CE8">
        <w:tc>
          <w:tcPr>
            <w:tcW w:w="8359" w:type="dxa"/>
          </w:tcPr>
          <w:p w14:paraId="15E766D5" w14:textId="77777777" w:rsidR="00E06B49" w:rsidRPr="00E06B49" w:rsidRDefault="00E06B49" w:rsidP="00E06B49">
            <w:r w:rsidRPr="00E06B49">
              <w:t xml:space="preserve">7. Ärztliche Diagnosen und Daten zur Gesundheitsprognose kann der betreffende Beschäftigte mit dem Betriebsarzt erörtern. Dieser darf die gewonnenen Informationen nicht ohne Einverständnis des Mitarbeiters an andere am BEM Beteiligte weiterleiten. Betriebliche Ursachen und betriebliche Auswirkungen der Erkrankungen darf der Betriebsarzt weitergeben. Der Betriebsarzt übernimmt es, die medizinischen Erkenntnisse und ihre möglichen Auswirkungen auf den Arbeitsplatz den Teilnehmern des BEM zu erläutern. </w:t>
            </w:r>
          </w:p>
        </w:tc>
        <w:tc>
          <w:tcPr>
            <w:tcW w:w="657" w:type="dxa"/>
          </w:tcPr>
          <w:p w14:paraId="6960A416" w14:textId="77777777" w:rsidR="00E06B49" w:rsidRPr="00E06B49" w:rsidRDefault="00E06B49" w:rsidP="00E06B49"/>
        </w:tc>
      </w:tr>
      <w:tr w:rsidR="00E06B49" w:rsidRPr="00E06B49" w14:paraId="172B1C52" w14:textId="77777777" w:rsidTr="00E14CE8">
        <w:tc>
          <w:tcPr>
            <w:tcW w:w="8359" w:type="dxa"/>
          </w:tcPr>
          <w:p w14:paraId="4A908E9D" w14:textId="77777777" w:rsidR="00E06B49" w:rsidRPr="00E06B49" w:rsidRDefault="00E06B49" w:rsidP="00E06B49">
            <w:r w:rsidRPr="00E06B49">
              <w:t xml:space="preserve">8. Die Entscheidung über die Mitteilung von Details der Krankheit bleibt dem Betroffenen überlassen. Das BEM kann nur dann Erfolg haben, wenn die Beteiligten über alle derzeitigen oder dauerhaften Einschränkungen, die aufgrund der Erkrankung am Arbeitsplatz bestehen, informiert werden. </w:t>
            </w:r>
          </w:p>
        </w:tc>
        <w:tc>
          <w:tcPr>
            <w:tcW w:w="657" w:type="dxa"/>
          </w:tcPr>
          <w:p w14:paraId="26BC0C28" w14:textId="77777777" w:rsidR="00E06B49" w:rsidRPr="00E06B49" w:rsidRDefault="00E06B49" w:rsidP="00E06B49"/>
        </w:tc>
      </w:tr>
      <w:tr w:rsidR="00E06B49" w:rsidRPr="00E06B49" w14:paraId="068BE85F" w14:textId="77777777" w:rsidTr="00E14CE8">
        <w:tc>
          <w:tcPr>
            <w:tcW w:w="8359" w:type="dxa"/>
          </w:tcPr>
          <w:p w14:paraId="6BEA3BB2" w14:textId="77777777" w:rsidR="00E06B49" w:rsidRPr="00E06B49" w:rsidRDefault="00E06B49" w:rsidP="00E06B49">
            <w:r w:rsidRPr="00E06B49">
              <w:t xml:space="preserve">9. Während des gesamten BEM-Prozesses sind Datenschutz und Schweigepflicht zu beachten. Die Erhebung und Verwendung der Daten für das BEM sollten durch den Datenschutzbeauftragten geprüft werden. </w:t>
            </w:r>
          </w:p>
        </w:tc>
        <w:tc>
          <w:tcPr>
            <w:tcW w:w="657" w:type="dxa"/>
          </w:tcPr>
          <w:p w14:paraId="14010790" w14:textId="77777777" w:rsidR="00E06B49" w:rsidRPr="00E06B49" w:rsidRDefault="00E06B49" w:rsidP="00E06B49"/>
        </w:tc>
      </w:tr>
    </w:tbl>
    <w:p w14:paraId="73F02595" w14:textId="77777777" w:rsidR="006B17A9" w:rsidRDefault="006B17A9"/>
    <w:sectPr w:rsidR="006B17A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B49"/>
    <w:rsid w:val="002F61FD"/>
    <w:rsid w:val="006B17A9"/>
    <w:rsid w:val="007C223D"/>
    <w:rsid w:val="00E06B49"/>
    <w:rsid w:val="00EF1AB5"/>
    <w:rsid w:val="00F51D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E63F6B7"/>
  <w15:chartTrackingRefBased/>
  <w15:docId w15:val="{96A505E1-49FF-BD48-8C3A-C170C7A0D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06B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06B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06B4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06B4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06B4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06B49"/>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06B49"/>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06B49"/>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06B49"/>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06B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06B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06B4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06B4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06B4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06B4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06B4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06B4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06B49"/>
    <w:rPr>
      <w:rFonts w:eastAsiaTheme="majorEastAsia" w:cstheme="majorBidi"/>
      <w:color w:val="272727" w:themeColor="text1" w:themeTint="D8"/>
    </w:rPr>
  </w:style>
  <w:style w:type="paragraph" w:styleId="Titel">
    <w:name w:val="Title"/>
    <w:basedOn w:val="Standard"/>
    <w:next w:val="Standard"/>
    <w:link w:val="TitelZchn"/>
    <w:uiPriority w:val="10"/>
    <w:qFormat/>
    <w:rsid w:val="00E06B49"/>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06B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06B49"/>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06B4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06B49"/>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E06B49"/>
    <w:rPr>
      <w:i/>
      <w:iCs/>
      <w:color w:val="404040" w:themeColor="text1" w:themeTint="BF"/>
    </w:rPr>
  </w:style>
  <w:style w:type="paragraph" w:styleId="Listenabsatz">
    <w:name w:val="List Paragraph"/>
    <w:basedOn w:val="Standard"/>
    <w:uiPriority w:val="34"/>
    <w:qFormat/>
    <w:rsid w:val="00E06B49"/>
    <w:pPr>
      <w:ind w:left="720"/>
      <w:contextualSpacing/>
    </w:pPr>
  </w:style>
  <w:style w:type="character" w:styleId="IntensiveHervorhebung">
    <w:name w:val="Intense Emphasis"/>
    <w:basedOn w:val="Absatz-Standardschriftart"/>
    <w:uiPriority w:val="21"/>
    <w:qFormat/>
    <w:rsid w:val="00E06B49"/>
    <w:rPr>
      <w:i/>
      <w:iCs/>
      <w:color w:val="0F4761" w:themeColor="accent1" w:themeShade="BF"/>
    </w:rPr>
  </w:style>
  <w:style w:type="paragraph" w:styleId="IntensivesZitat">
    <w:name w:val="Intense Quote"/>
    <w:basedOn w:val="Standard"/>
    <w:next w:val="Standard"/>
    <w:link w:val="IntensivesZitatZchn"/>
    <w:uiPriority w:val="30"/>
    <w:qFormat/>
    <w:rsid w:val="00E06B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06B49"/>
    <w:rPr>
      <w:i/>
      <w:iCs/>
      <w:color w:val="0F4761" w:themeColor="accent1" w:themeShade="BF"/>
    </w:rPr>
  </w:style>
  <w:style w:type="character" w:styleId="IntensiverVerweis">
    <w:name w:val="Intense Reference"/>
    <w:basedOn w:val="Absatz-Standardschriftart"/>
    <w:uiPriority w:val="32"/>
    <w:qFormat/>
    <w:rsid w:val="00E06B49"/>
    <w:rPr>
      <w:b/>
      <w:bCs/>
      <w:smallCaps/>
      <w:color w:val="0F4761" w:themeColor="accent1" w:themeShade="BF"/>
      <w:spacing w:val="5"/>
    </w:rPr>
  </w:style>
  <w:style w:type="table" w:styleId="Tabellenraster">
    <w:name w:val="Table Grid"/>
    <w:basedOn w:val="NormaleTabelle"/>
    <w:uiPriority w:val="39"/>
    <w:rsid w:val="00E06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2052</Characters>
  <Application>Microsoft Office Word</Application>
  <DocSecurity>0</DocSecurity>
  <Lines>17</Lines>
  <Paragraphs>4</Paragraphs>
  <ScaleCrop>false</ScaleCrop>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deinzer.grafik</dc:creator>
  <cp:keywords/>
  <dc:description/>
  <cp:lastModifiedBy>deinzer.grafik</cp:lastModifiedBy>
  <cp:revision>1</cp:revision>
  <dcterms:created xsi:type="dcterms:W3CDTF">2025-09-09T14:02:00Z</dcterms:created>
  <dcterms:modified xsi:type="dcterms:W3CDTF">2025-09-09T14:03:00Z</dcterms:modified>
</cp:coreProperties>
</file>