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4889" w14:textId="77777777" w:rsidR="00B33E3F" w:rsidRDefault="00B33E3F" w:rsidP="00B33E3F">
      <w:pPr>
        <w:rPr>
          <w:rFonts w:cstheme="minorHAnsi"/>
        </w:rPr>
      </w:pPr>
      <w:r>
        <w:rPr>
          <w:rFonts w:cstheme="minorHAnsi"/>
        </w:rPr>
        <w:t>Ü-Bindungsdauer</w:t>
      </w:r>
    </w:p>
    <w:p w14:paraId="63E395F8" w14:textId="77777777" w:rsidR="00B33E3F" w:rsidRDefault="00B33E3F" w:rsidP="00B33E3F">
      <w:pPr>
        <w:rPr>
          <w:rFonts w:cstheme="minorHAnsi"/>
        </w:rPr>
      </w:pPr>
    </w:p>
    <w:p w14:paraId="2CFD4202" w14:textId="77777777" w:rsidR="00B33E3F" w:rsidRPr="00765EA8" w:rsidRDefault="00B33E3F" w:rsidP="00B33E3F">
      <w:pPr>
        <w:rPr>
          <w:rFonts w:cstheme="minorHAnsi"/>
          <w:b/>
          <w:bCs/>
        </w:rPr>
      </w:pPr>
      <w:r w:rsidRPr="00765EA8">
        <w:rPr>
          <w:rFonts w:cstheme="minorHAnsi"/>
          <w:b/>
          <w:bCs/>
        </w:rPr>
        <w:t>Folgende Grundsätze hat die Rechtsprechung zur Bindungsdauer entwickelt:</w:t>
      </w:r>
    </w:p>
    <w:p w14:paraId="0ADA0452" w14:textId="77777777" w:rsidR="00B33E3F" w:rsidRDefault="00B33E3F" w:rsidP="00B33E3F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33E3F" w14:paraId="3E0209FD" w14:textId="77777777" w:rsidTr="00133655">
        <w:tc>
          <w:tcPr>
            <w:tcW w:w="4528" w:type="dxa"/>
          </w:tcPr>
          <w:p w14:paraId="68E47D1A" w14:textId="77777777" w:rsidR="00B33E3F" w:rsidRPr="00765EA8" w:rsidRDefault="00B33E3F" w:rsidP="00133655">
            <w:pPr>
              <w:rPr>
                <w:rFonts w:cstheme="minorHAnsi"/>
                <w:b/>
                <w:bCs/>
              </w:rPr>
            </w:pPr>
            <w:r w:rsidRPr="00765EA8">
              <w:rPr>
                <w:rFonts w:cstheme="minorHAnsi"/>
                <w:b/>
                <w:bCs/>
              </w:rPr>
              <w:t>Höhe der Gratifikation</w:t>
            </w:r>
          </w:p>
        </w:tc>
        <w:tc>
          <w:tcPr>
            <w:tcW w:w="4528" w:type="dxa"/>
          </w:tcPr>
          <w:p w14:paraId="20A03AF2" w14:textId="77777777" w:rsidR="00B33E3F" w:rsidRPr="00765EA8" w:rsidRDefault="00B33E3F" w:rsidP="00133655">
            <w:pPr>
              <w:rPr>
                <w:rFonts w:cstheme="minorHAnsi"/>
                <w:b/>
                <w:bCs/>
              </w:rPr>
            </w:pPr>
            <w:r w:rsidRPr="00765EA8">
              <w:rPr>
                <w:rFonts w:cstheme="minorHAnsi"/>
                <w:b/>
                <w:bCs/>
              </w:rPr>
              <w:t>Folge</w:t>
            </w:r>
          </w:p>
        </w:tc>
      </w:tr>
      <w:tr w:rsidR="00B33E3F" w14:paraId="2B5C0C40" w14:textId="77777777" w:rsidTr="00133655">
        <w:tc>
          <w:tcPr>
            <w:tcW w:w="4528" w:type="dxa"/>
          </w:tcPr>
          <w:p w14:paraId="6F4611F6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bis zu 100 €</w:t>
            </w:r>
          </w:p>
        </w:tc>
        <w:tc>
          <w:tcPr>
            <w:tcW w:w="4528" w:type="dxa"/>
          </w:tcPr>
          <w:p w14:paraId="6E2C0F83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Keine Rückzahlungsverpflichtung möglich, da die Zahlung zu gering ist</w:t>
            </w:r>
          </w:p>
        </w:tc>
      </w:tr>
      <w:tr w:rsidR="00B33E3F" w14:paraId="3CD3EE57" w14:textId="77777777" w:rsidTr="00133655">
        <w:tc>
          <w:tcPr>
            <w:tcW w:w="4528" w:type="dxa"/>
          </w:tcPr>
          <w:p w14:paraId="054ED03D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über 100 €, aber weniger als ein Monatsgehalt</w:t>
            </w:r>
          </w:p>
        </w:tc>
        <w:tc>
          <w:tcPr>
            <w:tcW w:w="4528" w:type="dxa"/>
          </w:tcPr>
          <w:p w14:paraId="3B977799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Bindung bis zum 31.3. des Folgejahres möglich (BAG 25.4.2007, Az. 10 AZR 634/06)</w:t>
            </w:r>
          </w:p>
        </w:tc>
      </w:tr>
      <w:tr w:rsidR="00B33E3F" w14:paraId="4355B15E" w14:textId="77777777" w:rsidTr="00133655">
        <w:tc>
          <w:tcPr>
            <w:tcW w:w="4528" w:type="dxa"/>
          </w:tcPr>
          <w:p w14:paraId="296B5D91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genau ein Bruttomonatsgehalt</w:t>
            </w:r>
          </w:p>
        </w:tc>
        <w:tc>
          <w:tcPr>
            <w:tcW w:w="4528" w:type="dxa"/>
          </w:tcPr>
          <w:p w14:paraId="16F154FA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Bindung bis maximal zum 30.6.des Folgejahres zulässig (BAG, 25.9.2002, Az. 10 AZR 7/02)</w:t>
            </w:r>
          </w:p>
        </w:tc>
      </w:tr>
      <w:tr w:rsidR="00B33E3F" w14:paraId="56E1DB66" w14:textId="77777777" w:rsidTr="00133655">
        <w:tc>
          <w:tcPr>
            <w:tcW w:w="4528" w:type="dxa"/>
          </w:tcPr>
          <w:p w14:paraId="498245FB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bis zu 2 Monatsgehältern</w:t>
            </w:r>
          </w:p>
        </w:tc>
        <w:tc>
          <w:tcPr>
            <w:tcW w:w="4528" w:type="dxa"/>
          </w:tcPr>
          <w:p w14:paraId="25C37811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Bindungsdauer bis zum 30.9. des Folgejahres, sofern der Mitarbeiter bis dahin mehrere Kündigungsmöglichkeiten hatte</w:t>
            </w:r>
          </w:p>
        </w:tc>
      </w:tr>
    </w:tbl>
    <w:p w14:paraId="0C9AF4D3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3F"/>
    <w:rsid w:val="00153551"/>
    <w:rsid w:val="0061141F"/>
    <w:rsid w:val="00664AAB"/>
    <w:rsid w:val="007A580F"/>
    <w:rsid w:val="0094513C"/>
    <w:rsid w:val="00B33E3F"/>
    <w:rsid w:val="00B84B69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36AC"/>
  <w15:chartTrackingRefBased/>
  <w15:docId w15:val="{712337B0-5E78-BE44-AA62-0AB9978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3E3F"/>
  </w:style>
  <w:style w:type="paragraph" w:styleId="berschrift1">
    <w:name w:val="heading 1"/>
    <w:basedOn w:val="Standard"/>
    <w:next w:val="Standard"/>
    <w:link w:val="berschrift1Zchn"/>
    <w:uiPriority w:val="9"/>
    <w:qFormat/>
    <w:rsid w:val="00B3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E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E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E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E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E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3E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3E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3E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E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3E3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33E3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2025-09-19T12:53:00Z</dcterms:created>
  <dcterms:modified xsi:type="dcterms:W3CDTF">2025-09-19T12:53:00Z</dcterms:modified>
</cp:coreProperties>
</file>