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D718" w14:textId="1F585716" w:rsidR="00AB2248" w:rsidRPr="00156412" w:rsidRDefault="00AB2248" w:rsidP="00AB2248">
      <w:pPr>
        <w:rPr>
          <w:b/>
          <w:bCs/>
        </w:rPr>
      </w:pPr>
      <w:r w:rsidRPr="00156412">
        <w:rPr>
          <w:b/>
          <w:bCs/>
        </w:rPr>
        <w:t>Muster-Betriebsvereinbarung</w:t>
      </w:r>
      <w:r w:rsidR="006C6C9C">
        <w:rPr>
          <w:b/>
          <w:bCs/>
        </w:rPr>
        <w:t>: Sozialplan</w:t>
      </w:r>
      <w:r w:rsidRPr="00156412">
        <w:rPr>
          <w:b/>
          <w:bCs/>
        </w:rPr>
        <w:t xml:space="preserve"> </w:t>
      </w:r>
    </w:p>
    <w:p w14:paraId="7D5C6744" w14:textId="77777777" w:rsidR="00AB2248" w:rsidRDefault="00AB2248" w:rsidP="00AB2248"/>
    <w:p w14:paraId="6225F27C" w14:textId="45FADE7F" w:rsidR="00AB2248" w:rsidRDefault="006C6C9C" w:rsidP="006C6C9C">
      <w:r w:rsidRPr="006C6C9C">
        <w:t xml:space="preserve">Zwischen dem Betriebsrat der ... (Name des Unternehmens) und der </w:t>
      </w:r>
      <w:r>
        <w:t>U</w:t>
      </w:r>
      <w:r w:rsidRPr="006C6C9C">
        <w:t>nternehmensleitung der ... (Name des Unternehmens) wird folgende Betriebsvereinbarung</w:t>
      </w:r>
      <w:r>
        <w:t xml:space="preserve"> </w:t>
      </w:r>
      <w:r w:rsidRPr="006C6C9C">
        <w:t>über einen Sozialplan wegen Betriebsänderung geschlossen:</w:t>
      </w:r>
    </w:p>
    <w:p w14:paraId="7B58EFFF" w14:textId="77777777" w:rsidR="006C6C9C" w:rsidRDefault="006C6C9C" w:rsidP="006C6C9C"/>
    <w:p w14:paraId="64D46BFE" w14:textId="77777777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>§ 1 Geltungsbereich</w:t>
      </w:r>
    </w:p>
    <w:p w14:paraId="5EAE6839" w14:textId="6DF31441" w:rsidR="00AB2248" w:rsidRDefault="006C6C9C" w:rsidP="006C6C9C">
      <w:r w:rsidRPr="006C6C9C">
        <w:t>Dieser Sozialplan gilt für alle unbefristet beschäftigten Arbeitnehmer</w:t>
      </w:r>
      <w:r>
        <w:t xml:space="preserve"> </w:t>
      </w:r>
      <w:r w:rsidRPr="006C6C9C">
        <w:t>s</w:t>
      </w:r>
      <w:r>
        <w:t>o</w:t>
      </w:r>
      <w:r w:rsidRPr="006C6C9C">
        <w:t>wie Auszubildende des Unternehmens, deren Arbeitsplatz von den</w:t>
      </w:r>
      <w:r>
        <w:t xml:space="preserve"> </w:t>
      </w:r>
      <w:r w:rsidRPr="006C6C9C">
        <w:t>Betriebsänderungen, die im Interessenausgleich genannt werden,</w:t>
      </w:r>
      <w:r>
        <w:t xml:space="preserve"> </w:t>
      </w:r>
      <w:r w:rsidRPr="006C6C9C">
        <w:t>betroffen ist.</w:t>
      </w:r>
    </w:p>
    <w:p w14:paraId="08915B4D" w14:textId="77777777" w:rsidR="006C6C9C" w:rsidRDefault="006C6C9C" w:rsidP="006C6C9C"/>
    <w:p w14:paraId="63E133BD" w14:textId="02955AE3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 xml:space="preserve">§ 2 </w:t>
      </w:r>
      <w:r w:rsidR="006C6C9C" w:rsidRPr="006C6C9C">
        <w:rPr>
          <w:b/>
          <w:bCs/>
        </w:rPr>
        <w:t>Allgemeine Bestimmungen</w:t>
      </w:r>
    </w:p>
    <w:p w14:paraId="770AFD87" w14:textId="4F25EF18" w:rsidR="006C6C9C" w:rsidRPr="006C6C9C" w:rsidRDefault="006C6C9C" w:rsidP="006C6C9C">
      <w:pPr>
        <w:pStyle w:val="Listenabsatz"/>
        <w:numPr>
          <w:ilvl w:val="0"/>
          <w:numId w:val="2"/>
        </w:numPr>
      </w:pPr>
      <w:r w:rsidRPr="006C6C9C">
        <w:t>Für Kündigungen, Aufhebungsvereinbarungen und Abwicklungsverträge</w:t>
      </w:r>
      <w:r>
        <w:t xml:space="preserve"> </w:t>
      </w:r>
      <w:r w:rsidRPr="006C6C9C">
        <w:t>gilt die vertragliche (einzelvertragliche oder tarifvertragliche)</w:t>
      </w:r>
      <w:r>
        <w:t xml:space="preserve"> </w:t>
      </w:r>
      <w:r w:rsidRPr="006C6C9C">
        <w:t>oder gesetzliche Kündigungsfrist.</w:t>
      </w:r>
    </w:p>
    <w:p w14:paraId="2400A8C2" w14:textId="32773A77" w:rsidR="006C6C9C" w:rsidRPr="006C6C9C" w:rsidRDefault="006C6C9C" w:rsidP="006C6C9C">
      <w:pPr>
        <w:pStyle w:val="Listenabsatz"/>
        <w:numPr>
          <w:ilvl w:val="0"/>
          <w:numId w:val="2"/>
        </w:numPr>
      </w:pPr>
      <w:r w:rsidRPr="006C6C9C">
        <w:t>Alle Arbeitnehmer, die aufgrund einer Aufhebungsvereinbarung</w:t>
      </w:r>
      <w:r>
        <w:t xml:space="preserve"> </w:t>
      </w:r>
      <w:r w:rsidRPr="006C6C9C">
        <w:t>ausscheiden, erhalten zur Suche nach einem neuen Arbeitsplatz</w:t>
      </w:r>
      <w:r>
        <w:t xml:space="preserve"> </w:t>
      </w:r>
      <w:r w:rsidRPr="006C6C9C">
        <w:t>eine angemessene bezahlte Freistellung von der Arbeit.</w:t>
      </w:r>
    </w:p>
    <w:p w14:paraId="3E2C519A" w14:textId="573F847B" w:rsidR="006C6C9C" w:rsidRPr="006C6C9C" w:rsidRDefault="006C6C9C" w:rsidP="006C6C9C">
      <w:pPr>
        <w:pStyle w:val="Listenabsatz"/>
        <w:numPr>
          <w:ilvl w:val="0"/>
          <w:numId w:val="2"/>
        </w:numPr>
      </w:pPr>
      <w:r w:rsidRPr="006C6C9C">
        <w:t>Findet ein Arbeitnehmer eine neue Arbeitsstelle, wird der Arbeitgeber</w:t>
      </w:r>
      <w:r>
        <w:t xml:space="preserve"> </w:t>
      </w:r>
      <w:r w:rsidRPr="006C6C9C">
        <w:t>– falls erforderlich – auf die Einhaltung der Kündigungsfrist</w:t>
      </w:r>
      <w:r>
        <w:t xml:space="preserve"> </w:t>
      </w:r>
      <w:r w:rsidRPr="006C6C9C">
        <w:t>verzichten.</w:t>
      </w:r>
    </w:p>
    <w:p w14:paraId="39DD295B" w14:textId="777E9D5E" w:rsidR="006C6C9C" w:rsidRPr="006C6C9C" w:rsidRDefault="006C6C9C" w:rsidP="006C6C9C">
      <w:pPr>
        <w:pStyle w:val="Listenabsatz"/>
        <w:numPr>
          <w:ilvl w:val="0"/>
          <w:numId w:val="2"/>
        </w:numPr>
      </w:pPr>
      <w:r w:rsidRPr="006C6C9C">
        <w:t>Stichtag für die Berechnung und Ermittlung der Leistungen nach</w:t>
      </w:r>
      <w:r>
        <w:t xml:space="preserve"> </w:t>
      </w:r>
      <w:r w:rsidRPr="006C6C9C">
        <w:t>diesem Sozialplan ist der letzte Tag des Arbeitsverhältnisses des</w:t>
      </w:r>
      <w:r>
        <w:t xml:space="preserve"> </w:t>
      </w:r>
      <w:r w:rsidRPr="006C6C9C">
        <w:t>jeweiligen Arbeitnehmers.</w:t>
      </w:r>
    </w:p>
    <w:p w14:paraId="6CADB279" w14:textId="141C4C66" w:rsidR="006C6C9C" w:rsidRPr="006C6C9C" w:rsidRDefault="006C6C9C" w:rsidP="006C6C9C">
      <w:pPr>
        <w:pStyle w:val="Listenabsatz"/>
        <w:numPr>
          <w:ilvl w:val="0"/>
          <w:numId w:val="2"/>
        </w:numPr>
      </w:pPr>
      <w:r w:rsidRPr="006C6C9C">
        <w:t>Soweit auf Leistungen aus diesem Sozialplan Steuer- und Sozialversicherungsbeiträge</w:t>
      </w:r>
      <w:r>
        <w:t xml:space="preserve"> </w:t>
      </w:r>
      <w:r w:rsidRPr="006C6C9C">
        <w:t>zu entrichten sind, müssen diese unter</w:t>
      </w:r>
      <w:r>
        <w:t xml:space="preserve"> </w:t>
      </w:r>
      <w:r w:rsidRPr="006C6C9C">
        <w:t>Beachtung der einschlägigen Gesetze und Verordnungen vom</w:t>
      </w:r>
      <w:r>
        <w:t xml:space="preserve"> </w:t>
      </w:r>
      <w:r w:rsidRPr="006C6C9C">
        <w:t>Arbeitnehmer getragen werden.</w:t>
      </w:r>
    </w:p>
    <w:p w14:paraId="525F984C" w14:textId="3D6A7DE5" w:rsidR="00AB2248" w:rsidRDefault="006C6C9C" w:rsidP="006C6C9C">
      <w:pPr>
        <w:pStyle w:val="Listenabsatz"/>
        <w:numPr>
          <w:ilvl w:val="0"/>
          <w:numId w:val="2"/>
        </w:numPr>
      </w:pPr>
      <w:r w:rsidRPr="006C6C9C">
        <w:t>Das Unternehmen kann Mitarbeitern, die noch im Arbeitsverhältnis</w:t>
      </w:r>
      <w:r>
        <w:t xml:space="preserve"> </w:t>
      </w:r>
      <w:r w:rsidRPr="006C6C9C">
        <w:t>stehen, eine Freistellung unter Fortzahlung der Bezüge</w:t>
      </w:r>
      <w:r>
        <w:t xml:space="preserve"> </w:t>
      </w:r>
      <w:r w:rsidRPr="006C6C9C">
        <w:t>erteilen, um ihnen die Teilnahme an einer Umschulungs- und</w:t>
      </w:r>
      <w:r>
        <w:t xml:space="preserve"> </w:t>
      </w:r>
      <w:r w:rsidRPr="006C6C9C">
        <w:t>Qualifizierungsmaßnahme der Agentur für Arbeit oder sonstiger</w:t>
      </w:r>
      <w:r>
        <w:t xml:space="preserve"> </w:t>
      </w:r>
      <w:r w:rsidRPr="006C6C9C">
        <w:t>Stellen zu ermöglichen.</w:t>
      </w:r>
    </w:p>
    <w:p w14:paraId="53A77B2C" w14:textId="77777777" w:rsidR="006C6C9C" w:rsidRDefault="006C6C9C" w:rsidP="006C6C9C"/>
    <w:p w14:paraId="38628DCD" w14:textId="3E349E3C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 xml:space="preserve">§ 3 </w:t>
      </w:r>
      <w:r w:rsidR="006C6C9C" w:rsidRPr="006C6C9C">
        <w:rPr>
          <w:b/>
          <w:bCs/>
        </w:rPr>
        <w:t>Abfindungen</w:t>
      </w:r>
    </w:p>
    <w:p w14:paraId="334E0C6E" w14:textId="0F38B3DF" w:rsidR="006C6C9C" w:rsidRDefault="006C6C9C" w:rsidP="006C6C9C">
      <w:r w:rsidRPr="006C6C9C">
        <w:t>Alle Arbeitnehmer, die infolge der im Interessenausgleich genannten</w:t>
      </w:r>
      <w:r>
        <w:t xml:space="preserve"> </w:t>
      </w:r>
      <w:r w:rsidRPr="006C6C9C">
        <w:t>Betriebsänderungen aus dem Betrieb ausscheiden, erhalten eine Abfindung</w:t>
      </w:r>
      <w:r>
        <w:t xml:space="preserve"> </w:t>
      </w:r>
      <w:r w:rsidRPr="006C6C9C">
        <w:t>nach §§ 9, 10 Kündigungsschutzgesetz, § 112 BetrVG für den</w:t>
      </w:r>
      <w:r>
        <w:t xml:space="preserve"> </w:t>
      </w:r>
      <w:r w:rsidRPr="006C6C9C">
        <w:t>Verlust ihres Arbeitsplatzes.</w:t>
      </w:r>
    </w:p>
    <w:p w14:paraId="316A2DCA" w14:textId="77777777" w:rsidR="006C6C9C" w:rsidRPr="006C6C9C" w:rsidRDefault="006C6C9C" w:rsidP="006C6C9C"/>
    <w:p w14:paraId="56C3F4D3" w14:textId="2A08EFF9" w:rsidR="006C6C9C" w:rsidRDefault="006C6C9C" w:rsidP="006C6C9C">
      <w:r w:rsidRPr="006C6C9C">
        <w:t>Für die Bemessung der Abfindung werden die Dauer der Betriebszugehörigkeit</w:t>
      </w:r>
      <w:r>
        <w:t xml:space="preserve"> </w:t>
      </w:r>
      <w:r w:rsidRPr="006C6C9C">
        <w:t>und das Lebensalter des jeweiligen Arbeitnehmers zugrunde</w:t>
      </w:r>
      <w:r>
        <w:t xml:space="preserve"> </w:t>
      </w:r>
      <w:r w:rsidRPr="006C6C9C">
        <w:t>gelegt. Stichtag für die Berechnung der Betriebszugehörigkeit und des</w:t>
      </w:r>
      <w:r>
        <w:t xml:space="preserve"> </w:t>
      </w:r>
      <w:r w:rsidRPr="006C6C9C">
        <w:t>Lebensalters ist der ... (Datum).</w:t>
      </w:r>
    </w:p>
    <w:p w14:paraId="56357E9D" w14:textId="77777777" w:rsidR="006C6C9C" w:rsidRPr="006C6C9C" w:rsidRDefault="006C6C9C" w:rsidP="006C6C9C"/>
    <w:p w14:paraId="16F4E2AD" w14:textId="536D58BC" w:rsidR="006C6C9C" w:rsidRDefault="006C6C9C" w:rsidP="006C6C9C">
      <w:r>
        <w:t>D</w:t>
      </w:r>
      <w:r w:rsidRPr="006C6C9C">
        <w:t>as Unternehmen zahlt eine Abfindung, die sich wie folgt berechnet:</w:t>
      </w:r>
      <w:r>
        <w:t xml:space="preserve"> </w:t>
      </w:r>
      <w:r>
        <w:br/>
      </w:r>
      <w:r w:rsidRPr="006C6C9C">
        <w:t>Monatsgehalt des Arbeitnehmers x Jahre der Betriebszugehörigkeit</w:t>
      </w:r>
      <w:r>
        <w:t xml:space="preserve"> </w:t>
      </w:r>
      <w:r w:rsidRPr="006C6C9C">
        <w:t>(maximal 15) x Multiplikator. Der Begriff des Monatsgehalts ergibt</w:t>
      </w:r>
      <w:r>
        <w:t xml:space="preserve"> </w:t>
      </w:r>
      <w:r w:rsidRPr="006C6C9C">
        <w:t>sich aus § 5 Nr. 4. Das Monatsgehalt berechnet sich nach der Formel:</w:t>
      </w:r>
      <w:r>
        <w:t xml:space="preserve"> </w:t>
      </w:r>
      <w:r w:rsidRPr="006C6C9C">
        <w:t>zuletzt bezogenes Monatsgehalt des Arbeitnehmers x 13, geteilt durch</w:t>
      </w:r>
      <w:r>
        <w:t xml:space="preserve"> </w:t>
      </w:r>
      <w:r w:rsidRPr="006C6C9C">
        <w:t>12. Der Multiplikator wird wie folgt ermittelt:</w:t>
      </w:r>
    </w:p>
    <w:p w14:paraId="24F1F5D2" w14:textId="77777777" w:rsidR="006C6C9C" w:rsidRDefault="006C6C9C">
      <w:r>
        <w:br w:type="page"/>
      </w:r>
    </w:p>
    <w:p w14:paraId="41D6404B" w14:textId="77777777" w:rsidR="00AB2248" w:rsidRDefault="00AB2248" w:rsidP="006C6C9C"/>
    <w:p w14:paraId="2F74F02E" w14:textId="77777777" w:rsidR="006C6C9C" w:rsidRDefault="006C6C9C" w:rsidP="006C6C9C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</w:tblGrid>
      <w:tr w:rsidR="006C6C9C" w14:paraId="67F111BB" w14:textId="77777777" w:rsidTr="006C6C9C">
        <w:trPr>
          <w:jc w:val="center"/>
        </w:trPr>
        <w:tc>
          <w:tcPr>
            <w:tcW w:w="2122" w:type="dxa"/>
          </w:tcPr>
          <w:p w14:paraId="66C00A5F" w14:textId="3AB53198" w:rsidR="006C6C9C" w:rsidRPr="006C6C9C" w:rsidRDefault="006C6C9C" w:rsidP="006C6C9C">
            <w:pPr>
              <w:rPr>
                <w:b/>
                <w:bCs/>
              </w:rPr>
            </w:pPr>
            <w:r w:rsidRPr="006C6C9C">
              <w:rPr>
                <w:b/>
                <w:bCs/>
              </w:rPr>
              <w:t xml:space="preserve">Altersgruppe </w:t>
            </w:r>
          </w:p>
        </w:tc>
        <w:tc>
          <w:tcPr>
            <w:tcW w:w="1984" w:type="dxa"/>
          </w:tcPr>
          <w:p w14:paraId="705AD6D8" w14:textId="543C6045" w:rsidR="006C6C9C" w:rsidRDefault="006C6C9C" w:rsidP="00AB2248">
            <w:r w:rsidRPr="006C6C9C">
              <w:rPr>
                <w:b/>
                <w:bCs/>
              </w:rPr>
              <w:t>Multiplikator</w:t>
            </w:r>
          </w:p>
        </w:tc>
      </w:tr>
      <w:tr w:rsidR="006C6C9C" w14:paraId="7ACDD73E" w14:textId="77777777" w:rsidTr="006C6C9C">
        <w:trPr>
          <w:jc w:val="center"/>
        </w:trPr>
        <w:tc>
          <w:tcPr>
            <w:tcW w:w="2122" w:type="dxa"/>
          </w:tcPr>
          <w:p w14:paraId="2642171D" w14:textId="64178BC9" w:rsidR="006C6C9C" w:rsidRDefault="006C6C9C" w:rsidP="006C6C9C">
            <w:r w:rsidRPr="006C6C9C">
              <w:t>bis 35 Jahre</w:t>
            </w:r>
          </w:p>
        </w:tc>
        <w:tc>
          <w:tcPr>
            <w:tcW w:w="1984" w:type="dxa"/>
          </w:tcPr>
          <w:p w14:paraId="507D87C1" w14:textId="31E26651" w:rsidR="006C6C9C" w:rsidRDefault="006C6C9C" w:rsidP="00AB2248">
            <w:r w:rsidRPr="006C6C9C">
              <w:t>0,80</w:t>
            </w:r>
          </w:p>
        </w:tc>
      </w:tr>
      <w:tr w:rsidR="006C6C9C" w14:paraId="459D0124" w14:textId="77777777" w:rsidTr="006C6C9C">
        <w:trPr>
          <w:jc w:val="center"/>
        </w:trPr>
        <w:tc>
          <w:tcPr>
            <w:tcW w:w="2122" w:type="dxa"/>
          </w:tcPr>
          <w:p w14:paraId="45C76773" w14:textId="2A06DB4B" w:rsidR="006C6C9C" w:rsidRDefault="006C6C9C" w:rsidP="006C6C9C">
            <w:r w:rsidRPr="006C6C9C">
              <w:t>bis 40 Jahre</w:t>
            </w:r>
          </w:p>
        </w:tc>
        <w:tc>
          <w:tcPr>
            <w:tcW w:w="1984" w:type="dxa"/>
          </w:tcPr>
          <w:p w14:paraId="0DD87F6C" w14:textId="7904EC69" w:rsidR="006C6C9C" w:rsidRDefault="006C6C9C" w:rsidP="00AB2248">
            <w:r w:rsidRPr="006C6C9C">
              <w:t>1,00</w:t>
            </w:r>
          </w:p>
        </w:tc>
      </w:tr>
      <w:tr w:rsidR="006C6C9C" w14:paraId="52876BC9" w14:textId="77777777" w:rsidTr="006C6C9C">
        <w:trPr>
          <w:jc w:val="center"/>
        </w:trPr>
        <w:tc>
          <w:tcPr>
            <w:tcW w:w="2122" w:type="dxa"/>
          </w:tcPr>
          <w:p w14:paraId="334190AE" w14:textId="07E30287" w:rsidR="006C6C9C" w:rsidRDefault="006C6C9C" w:rsidP="006C6C9C">
            <w:r w:rsidRPr="006C6C9C">
              <w:t>bis 49 Jahre</w:t>
            </w:r>
          </w:p>
        </w:tc>
        <w:tc>
          <w:tcPr>
            <w:tcW w:w="1984" w:type="dxa"/>
          </w:tcPr>
          <w:p w14:paraId="75582B70" w14:textId="3174FEB9" w:rsidR="006C6C9C" w:rsidRDefault="006C6C9C" w:rsidP="00AB2248">
            <w:r w:rsidRPr="006C6C9C">
              <w:t>1,</w:t>
            </w:r>
            <w:r>
              <w:t>25</w:t>
            </w:r>
          </w:p>
        </w:tc>
      </w:tr>
      <w:tr w:rsidR="006C6C9C" w14:paraId="26AF177D" w14:textId="77777777" w:rsidTr="006C6C9C">
        <w:trPr>
          <w:jc w:val="center"/>
        </w:trPr>
        <w:tc>
          <w:tcPr>
            <w:tcW w:w="2122" w:type="dxa"/>
          </w:tcPr>
          <w:p w14:paraId="303EE0DA" w14:textId="0FE52DF1" w:rsidR="006C6C9C" w:rsidRDefault="006C6C9C" w:rsidP="00AB2248">
            <w:r w:rsidRPr="006C6C9C">
              <w:t>ab 50 Jahre</w:t>
            </w:r>
          </w:p>
        </w:tc>
        <w:tc>
          <w:tcPr>
            <w:tcW w:w="1984" w:type="dxa"/>
          </w:tcPr>
          <w:p w14:paraId="7744D512" w14:textId="45CF6A5A" w:rsidR="006C6C9C" w:rsidRDefault="006C6C9C" w:rsidP="00AB2248">
            <w:r w:rsidRPr="006C6C9C">
              <w:t>1,</w:t>
            </w:r>
            <w:r>
              <w:t>5</w:t>
            </w:r>
            <w:r w:rsidRPr="006C6C9C">
              <w:t>0</w:t>
            </w:r>
          </w:p>
        </w:tc>
      </w:tr>
    </w:tbl>
    <w:p w14:paraId="26FA660B" w14:textId="77777777" w:rsidR="00AB2248" w:rsidRDefault="00AB2248" w:rsidP="00AB2248"/>
    <w:p w14:paraId="7B0A037D" w14:textId="137111BF" w:rsidR="006C6C9C" w:rsidRDefault="006C6C9C" w:rsidP="006C6C9C">
      <w:r w:rsidRPr="006C6C9C">
        <w:t>Die Abfindung erhöht sich für jedes unterhaltsberechtigte Kind um</w:t>
      </w:r>
      <w:r>
        <w:t xml:space="preserve"> </w:t>
      </w:r>
      <w:r w:rsidRPr="006C6C9C">
        <w:t>... Die Unterhaltsberechtigung ist vom Arbeitnehmer nachzuweisen;</w:t>
      </w:r>
      <w:r>
        <w:t xml:space="preserve"> </w:t>
      </w:r>
      <w:r w:rsidRPr="006C6C9C">
        <w:t>wie z. B. durch Eintrag auf der Lohnsteuerkarte des Elternteils. Für anerkannt</w:t>
      </w:r>
      <w:r>
        <w:t xml:space="preserve"> </w:t>
      </w:r>
      <w:r w:rsidRPr="006C6C9C">
        <w:t>schwerbehinderte Menschen und Gleichgestellte erhöht sich</w:t>
      </w:r>
      <w:r>
        <w:t xml:space="preserve"> </w:t>
      </w:r>
      <w:r w:rsidRPr="006C6C9C">
        <w:t>die Abfindung um 15 %.</w:t>
      </w:r>
    </w:p>
    <w:p w14:paraId="4E2EFB7C" w14:textId="77777777" w:rsidR="006C6C9C" w:rsidRPr="006C6C9C" w:rsidRDefault="006C6C9C" w:rsidP="006C6C9C"/>
    <w:p w14:paraId="6F298C56" w14:textId="2E4DDC53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 xml:space="preserve">§ 4 </w:t>
      </w:r>
      <w:r w:rsidR="006C6C9C" w:rsidRPr="006C6C9C">
        <w:rPr>
          <w:b/>
          <w:bCs/>
        </w:rPr>
        <w:t>Härtefonds</w:t>
      </w:r>
    </w:p>
    <w:p w14:paraId="4A816107" w14:textId="0D4F19F3" w:rsidR="00AB2248" w:rsidRDefault="006C6C9C" w:rsidP="006C6C9C">
      <w:r w:rsidRPr="006C6C9C">
        <w:t>Darüber hinaus besteht für Härtefälle ein Härtefonds. Leistungen hieraus</w:t>
      </w:r>
      <w:r>
        <w:t xml:space="preserve"> </w:t>
      </w:r>
      <w:r w:rsidRPr="006C6C9C">
        <w:t>werden nur nach schriftlichem Antrag gewährt. Darin ist glaubhaft</w:t>
      </w:r>
      <w:r>
        <w:t xml:space="preserve"> </w:t>
      </w:r>
      <w:r w:rsidRPr="006C6C9C">
        <w:t>zu machen, dass den Antragsteller im Vergleich zu anderen betroffenen</w:t>
      </w:r>
      <w:r>
        <w:t xml:space="preserve"> </w:t>
      </w:r>
      <w:r w:rsidRPr="006C6C9C">
        <w:t>Kollegen durch das Ausscheiden aus dem Unternehmen eine</w:t>
      </w:r>
      <w:r>
        <w:t xml:space="preserve"> </w:t>
      </w:r>
      <w:r w:rsidRPr="006C6C9C">
        <w:t>besondere Härte trifft. Die Verteilung der im Härtefonds vorhandenen</w:t>
      </w:r>
      <w:r>
        <w:t xml:space="preserve"> </w:t>
      </w:r>
      <w:r w:rsidRPr="006C6C9C">
        <w:t>Mittel erfolgt durch eine paritätisch besetzte Kommission der Firma</w:t>
      </w:r>
      <w:r>
        <w:t xml:space="preserve"> </w:t>
      </w:r>
      <w:r w:rsidRPr="006C6C9C">
        <w:t>und des Betriebsrats. Ein Rechtsanspruch auf Leistungen aus diesem</w:t>
      </w:r>
      <w:r>
        <w:t xml:space="preserve"> </w:t>
      </w:r>
      <w:r w:rsidRPr="006C6C9C">
        <w:t>Fonds besteht nicht. Der Härtefonds wird zum ... (Datum) aufgelöst,</w:t>
      </w:r>
      <w:r>
        <w:t xml:space="preserve"> </w:t>
      </w:r>
      <w:r w:rsidRPr="006C6C9C">
        <w:t>soweit die Mittel verbraucht sind.</w:t>
      </w:r>
    </w:p>
    <w:p w14:paraId="4485F74E" w14:textId="77777777" w:rsidR="006C6C9C" w:rsidRDefault="006C6C9C" w:rsidP="006C6C9C"/>
    <w:p w14:paraId="607431FE" w14:textId="607BC2B4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 xml:space="preserve">§ 5 </w:t>
      </w:r>
      <w:r w:rsidR="006C6C9C" w:rsidRPr="006C6C9C">
        <w:rPr>
          <w:b/>
          <w:bCs/>
        </w:rPr>
        <w:t>Fälligkeit der Abfindungen</w:t>
      </w:r>
    </w:p>
    <w:p w14:paraId="075DA57E" w14:textId="23E6F8AD" w:rsidR="00AB2248" w:rsidRDefault="006C6C9C" w:rsidP="006C6C9C">
      <w:r w:rsidRPr="006C6C9C">
        <w:t>Die Abfindungen werden zum Zeitpunkt des rechtlichen Ausscheidens</w:t>
      </w:r>
      <w:r>
        <w:t xml:space="preserve"> </w:t>
      </w:r>
      <w:r w:rsidRPr="006C6C9C">
        <w:t>des Arbeitnehmers fällig. Wird einem Arbeitnehmer wegen Unwirksamkeit</w:t>
      </w:r>
      <w:r>
        <w:t xml:space="preserve"> </w:t>
      </w:r>
      <w:r w:rsidRPr="006C6C9C">
        <w:t>der Kündigung oder aus Gründen im Zusammenhang mit</w:t>
      </w:r>
      <w:r>
        <w:t xml:space="preserve"> </w:t>
      </w:r>
      <w:r w:rsidRPr="006C6C9C">
        <w:t>der Betriebsänderung ein Abfindungsbetrag durch das Arbeitsgericht</w:t>
      </w:r>
      <w:r>
        <w:t xml:space="preserve"> </w:t>
      </w:r>
      <w:r w:rsidRPr="006C6C9C">
        <w:t>zugesprochen, wird dieser auf die Abfindung aus dem Sozialplan voll</w:t>
      </w:r>
      <w:r>
        <w:t xml:space="preserve"> </w:t>
      </w:r>
      <w:r w:rsidRPr="006C6C9C">
        <w:t>angerechnet.</w:t>
      </w:r>
    </w:p>
    <w:p w14:paraId="735D4249" w14:textId="77777777" w:rsidR="006C6C9C" w:rsidRDefault="006C6C9C" w:rsidP="006C6C9C"/>
    <w:p w14:paraId="2EA27B03" w14:textId="6EC14829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 xml:space="preserve">§ 6 </w:t>
      </w:r>
      <w:r w:rsidR="006C6C9C" w:rsidRPr="006C6C9C">
        <w:rPr>
          <w:b/>
          <w:bCs/>
        </w:rPr>
        <w:t>Sonstige Leistungen</w:t>
      </w:r>
    </w:p>
    <w:p w14:paraId="77FE0A5C" w14:textId="0118BA00" w:rsidR="00AB2248" w:rsidRDefault="00ED0B3A" w:rsidP="00ED0B3A">
      <w:r w:rsidRPr="00ED0B3A">
        <w:t>Jeder Arbeitnehmer, der am Tag der Unterzeichnung dieses Sozialplans</w:t>
      </w:r>
      <w:r>
        <w:t xml:space="preserve"> </w:t>
      </w:r>
      <w:r w:rsidRPr="00ED0B3A">
        <w:t>vermögenswirksam gespart und bereits einen Anspruch auf Arbeitgeberleistungen</w:t>
      </w:r>
      <w:r>
        <w:t xml:space="preserve"> </w:t>
      </w:r>
      <w:r w:rsidRPr="00ED0B3A">
        <w:t>erworben hat, erhält bei seinem Ausscheiden die</w:t>
      </w:r>
      <w:r>
        <w:t xml:space="preserve"> </w:t>
      </w:r>
      <w:r w:rsidRPr="00ED0B3A">
        <w:t>bisherigen monatlichen Leistungen für ... Monate. Sind die gesetzlichen</w:t>
      </w:r>
      <w:r>
        <w:t xml:space="preserve"> </w:t>
      </w:r>
      <w:r w:rsidRPr="00ED0B3A">
        <w:t>Leistungen erfüllt, erhält der Arbeitnehmer zum Zeitpunkt</w:t>
      </w:r>
      <w:r>
        <w:t xml:space="preserve"> </w:t>
      </w:r>
      <w:r w:rsidRPr="00ED0B3A">
        <w:t>des Ausscheidens eine Unverfallbarkeitserklärung zur betrieblichen</w:t>
      </w:r>
      <w:r>
        <w:t xml:space="preserve"> </w:t>
      </w:r>
      <w:r w:rsidRPr="00ED0B3A">
        <w:t>Altersversorgung.</w:t>
      </w:r>
    </w:p>
    <w:p w14:paraId="0F81A7CA" w14:textId="77777777" w:rsidR="00AB2248" w:rsidRDefault="00AB2248" w:rsidP="00AB2248"/>
    <w:p w14:paraId="7C0E9C96" w14:textId="5B583BFB" w:rsidR="00AB2248" w:rsidRPr="001965E1" w:rsidRDefault="00AB2248" w:rsidP="00AB2248">
      <w:pPr>
        <w:rPr>
          <w:b/>
          <w:bCs/>
        </w:rPr>
      </w:pPr>
      <w:r w:rsidRPr="001965E1">
        <w:rPr>
          <w:b/>
          <w:bCs/>
        </w:rPr>
        <w:t xml:space="preserve">§ 7 </w:t>
      </w:r>
      <w:r w:rsidR="00ED0B3A" w:rsidRPr="00ED0B3A">
        <w:rPr>
          <w:b/>
          <w:bCs/>
        </w:rPr>
        <w:t>Salvatorische Klausel</w:t>
      </w:r>
    </w:p>
    <w:p w14:paraId="080C84D8" w14:textId="77777777" w:rsidR="00ED0B3A" w:rsidRDefault="00ED0B3A" w:rsidP="00ED0B3A">
      <w:r w:rsidRPr="00ED0B3A">
        <w:t>Änderungen und/oder Ergänzungen dieses Sozialplans sowie etwaige</w:t>
      </w:r>
      <w:r>
        <w:t xml:space="preserve"> </w:t>
      </w:r>
      <w:r w:rsidRPr="00ED0B3A">
        <w:t>Nebenabreden bedürfen zu ihrer Wirksamkeit der schriftlichen Vereinbarung</w:t>
      </w:r>
      <w:r>
        <w:t xml:space="preserve"> </w:t>
      </w:r>
      <w:r w:rsidRPr="00ED0B3A">
        <w:t>der Vertragsparteien. Dies gilt auch für diese Schriftformabrede.</w:t>
      </w:r>
      <w:r>
        <w:t xml:space="preserve"> </w:t>
      </w:r>
    </w:p>
    <w:p w14:paraId="33E5830A" w14:textId="77777777" w:rsidR="00ED0B3A" w:rsidRDefault="00ED0B3A" w:rsidP="00ED0B3A"/>
    <w:p w14:paraId="50E6CB19" w14:textId="6350F575" w:rsidR="00AB2248" w:rsidRDefault="00ED0B3A" w:rsidP="00ED0B3A">
      <w:r w:rsidRPr="00ED0B3A">
        <w:t>Sollten Bestimmungen dieser Vereinbarung ganz oder teilweise nicht</w:t>
      </w:r>
      <w:r>
        <w:t xml:space="preserve"> </w:t>
      </w:r>
      <w:r w:rsidRPr="00ED0B3A">
        <w:t>rechtswirksam sein, bleiben die übrigen Vertragsbestimmungen hiervon</w:t>
      </w:r>
      <w:r>
        <w:t xml:space="preserve"> </w:t>
      </w:r>
      <w:r w:rsidRPr="00ED0B3A">
        <w:t>unberührt.</w:t>
      </w:r>
    </w:p>
    <w:p w14:paraId="7C487CB7" w14:textId="77777777" w:rsidR="00ED0B3A" w:rsidRDefault="00ED0B3A" w:rsidP="00ED0B3A"/>
    <w:p w14:paraId="083263B0" w14:textId="0452789C" w:rsidR="00ED0B3A" w:rsidRPr="001965E1" w:rsidRDefault="00ED0B3A" w:rsidP="00ED0B3A">
      <w:pPr>
        <w:rPr>
          <w:b/>
          <w:bCs/>
        </w:rPr>
      </w:pPr>
      <w:r w:rsidRPr="001965E1">
        <w:rPr>
          <w:b/>
          <w:bCs/>
        </w:rPr>
        <w:t xml:space="preserve">§ </w:t>
      </w:r>
      <w:r>
        <w:rPr>
          <w:b/>
          <w:bCs/>
        </w:rPr>
        <w:t>8</w:t>
      </w:r>
      <w:r w:rsidRPr="001965E1">
        <w:rPr>
          <w:b/>
          <w:bCs/>
        </w:rPr>
        <w:t xml:space="preserve"> </w:t>
      </w:r>
      <w:r w:rsidRPr="00ED0B3A">
        <w:rPr>
          <w:b/>
          <w:bCs/>
        </w:rPr>
        <w:t>Inkrafttreten</w:t>
      </w:r>
    </w:p>
    <w:p w14:paraId="339C864D" w14:textId="0CF0F1A6" w:rsidR="00ED0B3A" w:rsidRDefault="00ED0B3A" w:rsidP="00ED0B3A">
      <w:r w:rsidRPr="00ED0B3A">
        <w:lastRenderedPageBreak/>
        <w:t>Dieser Sozialplan tritt am Tag seiner Unterzeichnung in Kraft. Er kann</w:t>
      </w:r>
      <w:r>
        <w:t xml:space="preserve"> </w:t>
      </w:r>
      <w:r w:rsidRPr="00ED0B3A">
        <w:t>jederzeit schriftlich gekündigt werden. Die Betriebsvereinbarung wirkt</w:t>
      </w:r>
      <w:r>
        <w:t xml:space="preserve"> </w:t>
      </w:r>
      <w:r w:rsidRPr="00ED0B3A">
        <w:t>auch nach einer Kündigung bis zum Abschluss einer ablösenden Vereinbarung</w:t>
      </w:r>
      <w:r>
        <w:t xml:space="preserve"> </w:t>
      </w:r>
      <w:r w:rsidRPr="00ED0B3A">
        <w:t>nach.</w:t>
      </w:r>
    </w:p>
    <w:p w14:paraId="1F7936A7" w14:textId="77777777" w:rsidR="00ED0B3A" w:rsidRDefault="00ED0B3A" w:rsidP="00ED0B3A"/>
    <w:p w14:paraId="410A6868" w14:textId="77777777" w:rsidR="00AB2248" w:rsidRDefault="00AB2248" w:rsidP="00AB2248">
      <w:r>
        <w:t>Ort, Datum, Unterschriften</w:t>
      </w:r>
    </w:p>
    <w:p w14:paraId="1B964052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B05"/>
    <w:multiLevelType w:val="hybridMultilevel"/>
    <w:tmpl w:val="DF707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1F0D"/>
    <w:multiLevelType w:val="hybridMultilevel"/>
    <w:tmpl w:val="BC2EE8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5750">
    <w:abstractNumId w:val="0"/>
  </w:num>
  <w:num w:numId="2" w16cid:durableId="153245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48"/>
    <w:rsid w:val="00153551"/>
    <w:rsid w:val="004269E8"/>
    <w:rsid w:val="00510B0A"/>
    <w:rsid w:val="00664AAB"/>
    <w:rsid w:val="006C6C9C"/>
    <w:rsid w:val="0094513C"/>
    <w:rsid w:val="00AB2248"/>
    <w:rsid w:val="00AC5B7B"/>
    <w:rsid w:val="00BA263F"/>
    <w:rsid w:val="00EA4C1B"/>
    <w:rsid w:val="00EB771F"/>
    <w:rsid w:val="00ED0B3A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70CF"/>
  <w15:chartTrackingRefBased/>
  <w15:docId w15:val="{46B426E0-92F0-7844-8A70-D93103C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2248"/>
  </w:style>
  <w:style w:type="paragraph" w:styleId="berschrift1">
    <w:name w:val="heading 1"/>
    <w:basedOn w:val="Standard"/>
    <w:next w:val="Standard"/>
    <w:link w:val="berschrift1Zchn"/>
    <w:uiPriority w:val="9"/>
    <w:qFormat/>
    <w:rsid w:val="00AB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2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2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2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2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2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2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2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2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2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2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22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22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22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22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22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2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2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22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22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22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22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22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224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CHn - Carolin Herrmann</cp:lastModifiedBy>
  <cp:revision>2</cp:revision>
  <dcterms:created xsi:type="dcterms:W3CDTF">2025-11-14T11:03:00Z</dcterms:created>
  <dcterms:modified xsi:type="dcterms:W3CDTF">2025-11-14T11:03:00Z</dcterms:modified>
</cp:coreProperties>
</file>