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94754" w14:textId="29718073" w:rsidR="0044034F" w:rsidRPr="0044034F" w:rsidRDefault="0044034F" w:rsidP="0044034F">
      <w:pPr>
        <w:rPr>
          <w:b/>
          <w:bCs/>
          <w:sz w:val="32"/>
          <w:szCs w:val="32"/>
        </w:rPr>
      </w:pPr>
      <w:r w:rsidRPr="0044034F">
        <w:rPr>
          <w:b/>
          <w:bCs/>
          <w:sz w:val="32"/>
          <w:szCs w:val="32"/>
          <w:lang w:eastAsia="de-DE"/>
        </w:rPr>
        <w:t xml:space="preserve">Übersicht: </w:t>
      </w:r>
      <w:r w:rsidRPr="0044034F">
        <w:rPr>
          <w:b/>
          <w:bCs/>
          <w:sz w:val="32"/>
          <w:szCs w:val="32"/>
        </w:rPr>
        <w:t>Förmliches Wahlverfahren im</w:t>
      </w:r>
      <w:r w:rsidRPr="0044034F">
        <w:rPr>
          <w:b/>
          <w:bCs/>
          <w:sz w:val="32"/>
          <w:szCs w:val="32"/>
        </w:rPr>
        <w:t xml:space="preserve"> </w:t>
      </w:r>
      <w:r w:rsidRPr="0044034F">
        <w:rPr>
          <w:b/>
          <w:bCs/>
          <w:sz w:val="32"/>
          <w:szCs w:val="32"/>
          <w:lang w:eastAsia="de-DE"/>
        </w:rPr>
        <w:t>Überblick</w:t>
      </w:r>
    </w:p>
    <w:p w14:paraId="0DA1D313" w14:textId="67523DAD" w:rsidR="00A32A28" w:rsidRPr="0044034F" w:rsidRDefault="00A32A28" w:rsidP="0044034F">
      <w:pPr>
        <w:rPr>
          <w:lang w:eastAsia="de-DE"/>
        </w:rPr>
      </w:pPr>
    </w:p>
    <w:tbl>
      <w:tblPr>
        <w:tblpPr w:leftFromText="141" w:rightFromText="141" w:vertAnchor="text" w:tblpX="-168" w:tblpY="1"/>
        <w:tblOverlap w:val="never"/>
        <w:tblW w:w="8897"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6036"/>
        <w:gridCol w:w="2861"/>
      </w:tblGrid>
      <w:tr w:rsidR="0044034F" w:rsidRPr="0044034F" w14:paraId="793D6072" w14:textId="77777777" w:rsidTr="00B8407E">
        <w:tblPrEx>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6BB10D60" w14:textId="77777777" w:rsidR="0044034F" w:rsidRPr="0044034F" w:rsidRDefault="0044034F" w:rsidP="0044034F">
            <w:pPr>
              <w:jc w:val="center"/>
              <w:rPr>
                <w:b/>
                <w:bCs/>
              </w:rPr>
            </w:pPr>
            <w:r w:rsidRPr="0044034F">
              <w:rPr>
                <w:b/>
                <w:bCs/>
              </w:rPr>
              <w:t>Was?</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025B078D" w14:textId="77777777" w:rsidR="0044034F" w:rsidRPr="0044034F" w:rsidRDefault="0044034F" w:rsidP="0044034F">
            <w:pPr>
              <w:jc w:val="center"/>
              <w:rPr>
                <w:b/>
                <w:bCs/>
              </w:rPr>
            </w:pPr>
            <w:r w:rsidRPr="0044034F">
              <w:rPr>
                <w:b/>
                <w:bCs/>
              </w:rPr>
              <w:t>Zu erledigen</w:t>
            </w:r>
          </w:p>
        </w:tc>
      </w:tr>
      <w:tr w:rsidR="0044034F" w:rsidRPr="0044034F" w14:paraId="1017AC8E"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42A9E669" w14:textId="77777777" w:rsidR="0044034F" w:rsidRPr="0044034F" w:rsidRDefault="0044034F" w:rsidP="0044034F">
            <w:r w:rsidRPr="0044034F">
              <w:t>1. Schritt: Mindestens drei Monate vor Ende Ihrer Amtszeit beginnen die Vorbereitungen der Wahl. Dazu stellen Sie zunächst fest, wie lang genau Ihre Amtszeit noch dauert. Ebenfalls möglichst drei Monate vor Beginn der Wahl wird der Wahlvorstand bestellt. Im Anschluss daran erfolgt direkt die Bekanntmachung im Betrieb.</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0AF91141" w14:textId="77777777" w:rsidR="0044034F" w:rsidRPr="0044034F" w:rsidRDefault="0044034F" w:rsidP="0044034F">
            <w:r w:rsidRPr="0044034F">
              <w:t>bis spätestens acht Wochen vor Ende der Amtszeit der bestehenden SBV</w:t>
            </w:r>
          </w:p>
        </w:tc>
      </w:tr>
      <w:tr w:rsidR="0044034F" w:rsidRPr="0044034F" w14:paraId="77A2C12E"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77437110" w14:textId="77777777" w:rsidR="0044034F" w:rsidRPr="0044034F" w:rsidRDefault="0044034F" w:rsidP="0044034F">
            <w:r w:rsidRPr="0044034F">
              <w:t>2. Schritt: Erste Sitzung des Wahlvorstands; diese sollte möglichst bald nach Bestellung des Wahlvorstands erfolgen. In der Sitzung wird die Geschäftsordnung beschlossen und ein Arbeitsplan aufgestellt.</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71557CD4" w14:textId="77777777" w:rsidR="0044034F" w:rsidRPr="0044034F" w:rsidRDefault="0044034F" w:rsidP="0044034F">
            <w:r w:rsidRPr="0044034F">
              <w:t>unverzüglich nach Bestellung des Wahlvorstands</w:t>
            </w:r>
          </w:p>
        </w:tc>
      </w:tr>
      <w:tr w:rsidR="0044034F" w:rsidRPr="0044034F" w14:paraId="1D755011"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39D9FEC4" w14:textId="77777777" w:rsidR="0044034F" w:rsidRPr="0044034F" w:rsidRDefault="0044034F" w:rsidP="0044034F">
            <w:r w:rsidRPr="0044034F">
              <w:t>3. Schritt: Maßnahmen zur Einleitung der Wahl durch den Wahlvorstand, z. B.: Aufstellung der Wählerlisten getrennt nach Geschlechtern; Festlegung der Zahl der Stellvertreter und Stellvertreterinnen; Festlegung der Betriebsteile und Kleinstbetriebe für Briefwahl; Festlegung der Stellen, an denen Wählerlisten, Wahlordnung und Wahlvorschläge ausgelegt und/oder ausgehängt werden; Festlegung von Ort, Tag und Uhrzeit der Wahl sowie der öffentlichen Stimmauszählung.</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7B0F852F" w14:textId="77777777" w:rsidR="0044034F" w:rsidRPr="0044034F" w:rsidRDefault="0044034F" w:rsidP="0044034F">
            <w:r w:rsidRPr="0044034F">
              <w:t>unverzüglich, also so schnell wie möglich nach der ersten Sitzung des Wahlvorstands, damit die Voraussetzungen für den Erlass des Wahlausschreibens geschaffen werden</w:t>
            </w:r>
          </w:p>
        </w:tc>
      </w:tr>
      <w:tr w:rsidR="0044034F" w:rsidRPr="0044034F" w14:paraId="627D6FEF"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388D568C" w14:textId="77777777" w:rsidR="0044034F" w:rsidRPr="0044034F" w:rsidRDefault="0044034F" w:rsidP="0044034F">
            <w:r w:rsidRPr="0044034F">
              <w:t>4. Schritt: Erlass des Wahlausschreibens durch den Wahlvorstand und Aushang oder Bekanntmachung</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213DFF72" w14:textId="77777777" w:rsidR="0044034F" w:rsidRPr="0044034F" w:rsidRDefault="0044034F" w:rsidP="0044034F">
            <w:r w:rsidRPr="0044034F">
              <w:t>unverzüglich, nachdem die im dritten Schritt genannten Voraussetzungen erfüllt sind, spätestens sechs Wochen vor dem Wahltag</w:t>
            </w:r>
          </w:p>
        </w:tc>
      </w:tr>
      <w:tr w:rsidR="0044034F" w:rsidRPr="0044034F" w14:paraId="0DEF6202"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013C1485" w14:textId="77777777" w:rsidR="0044034F" w:rsidRPr="0044034F" w:rsidRDefault="0044034F" w:rsidP="0044034F">
            <w:r w:rsidRPr="0044034F">
              <w:t>5. Schritt: Letzten Tag für Einsprüche gegen die Richtigkeit der Wählerliste bestimmen</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78EBECFB" w14:textId="77777777" w:rsidR="0044034F" w:rsidRPr="0044034F" w:rsidRDefault="0044034F" w:rsidP="0044034F">
            <w:r w:rsidRPr="0044034F">
              <w:t>zwei Wochen nach Erlass des Wahlausschreibens</w:t>
            </w:r>
          </w:p>
        </w:tc>
      </w:tr>
      <w:tr w:rsidR="0044034F" w:rsidRPr="0044034F" w14:paraId="3BEC0D04"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338F994E" w14:textId="77777777" w:rsidR="0044034F" w:rsidRPr="0044034F" w:rsidRDefault="0044034F" w:rsidP="0044034F">
            <w:r w:rsidRPr="0044034F">
              <w:t>6. Schritt: Letzten Tag für die Einreichung von Wahlvorschlägen bestimmen</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26F9101E" w14:textId="77777777" w:rsidR="0044034F" w:rsidRPr="0044034F" w:rsidRDefault="0044034F" w:rsidP="0044034F">
            <w:r w:rsidRPr="0044034F">
              <w:t>zwei Wochen nach Erlass des Wahlausschreibens</w:t>
            </w:r>
          </w:p>
        </w:tc>
      </w:tr>
      <w:tr w:rsidR="0044034F" w:rsidRPr="0044034F" w14:paraId="2D18C445"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69BC1C2E" w14:textId="77777777" w:rsidR="0044034F" w:rsidRPr="0044034F" w:rsidRDefault="0044034F" w:rsidP="0044034F">
            <w:r w:rsidRPr="0044034F">
              <w:t>7. Schritt: Auslegen und Bekanntmachung der Wählerliste sowie der Wahlordnung durch den Wahlvorstand</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709206B8" w14:textId="77777777" w:rsidR="0044034F" w:rsidRPr="0044034F" w:rsidRDefault="0044034F" w:rsidP="0044034F">
            <w:r w:rsidRPr="0044034F">
              <w:t>gleichzeitig mit dem Erlass und Aushang des Wahlausschreibens</w:t>
            </w:r>
          </w:p>
        </w:tc>
      </w:tr>
      <w:tr w:rsidR="0044034F" w:rsidRPr="0044034F" w14:paraId="492FD98E"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2A2E5579" w14:textId="77777777" w:rsidR="0044034F" w:rsidRPr="0044034F" w:rsidRDefault="0044034F" w:rsidP="0044034F">
            <w:r w:rsidRPr="0044034F">
              <w:t>8. Schritt: Prüfung der Wahlvorschläge durch den Wahlvorstand</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4E91C498" w14:textId="77777777" w:rsidR="0044034F" w:rsidRPr="0044034F" w:rsidRDefault="0044034F" w:rsidP="0044034F">
            <w:r w:rsidRPr="0044034F">
              <w:t>unverzüglich nach Einreichung der Wahlvorschläge</w:t>
            </w:r>
          </w:p>
        </w:tc>
      </w:tr>
      <w:tr w:rsidR="0044034F" w:rsidRPr="0044034F" w14:paraId="37CFE90F"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4BB9EA5C" w14:textId="77777777" w:rsidR="0044034F" w:rsidRPr="0044034F" w:rsidRDefault="0044034F" w:rsidP="0044034F">
            <w:r w:rsidRPr="0044034F">
              <w:t>9. Schritt: Mitteilung des Wahlvorstands und Aufforderung, Mängel innerhalb von drei Tagen zu beseitigen</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3660BA18" w14:textId="77777777" w:rsidR="0044034F" w:rsidRPr="0044034F" w:rsidRDefault="0044034F" w:rsidP="0044034F">
            <w:r w:rsidRPr="0044034F">
              <w:t>unverzüglich nach Prüfung der Wahlvorschläge</w:t>
            </w:r>
          </w:p>
        </w:tc>
      </w:tr>
      <w:tr w:rsidR="0044034F" w:rsidRPr="0044034F" w14:paraId="2C430FFB"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3E2CC316" w14:textId="77777777" w:rsidR="0044034F" w:rsidRPr="0044034F" w:rsidRDefault="0044034F" w:rsidP="0044034F">
            <w:r w:rsidRPr="0044034F">
              <w:t>10. Schritt: Wenn nötig, Bekanntgabe, dass kein gültiger Wahlvorschlag eingegangen ist</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5644E647" w14:textId="77777777" w:rsidR="0044034F" w:rsidRPr="0044034F" w:rsidRDefault="0044034F" w:rsidP="0044034F">
            <w:r w:rsidRPr="0044034F">
              <w:t>unverzüglich nach Ablauf der Frist unter Schritt 6</w:t>
            </w:r>
          </w:p>
        </w:tc>
      </w:tr>
      <w:tr w:rsidR="0044034F" w:rsidRPr="0044034F" w14:paraId="02633187"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23C8D006" w14:textId="77777777" w:rsidR="0044034F" w:rsidRPr="0044034F" w:rsidRDefault="0044034F" w:rsidP="0044034F">
            <w:r w:rsidRPr="0044034F">
              <w:lastRenderedPageBreak/>
              <w:t>11. Schritt: In diesem Fall sollte eine Nachfrist von einer Woche gesetzt werden</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69E146BA" w14:textId="77777777" w:rsidR="0044034F" w:rsidRPr="0044034F" w:rsidRDefault="0044034F" w:rsidP="0044034F">
            <w:r w:rsidRPr="0044034F">
              <w:t>unverzüglich nach Ablauf der Frist unter Schritt 8</w:t>
            </w:r>
          </w:p>
        </w:tc>
      </w:tr>
      <w:tr w:rsidR="0044034F" w:rsidRPr="0044034F" w14:paraId="7DB06B06"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326FC75C" w14:textId="77777777" w:rsidR="0044034F" w:rsidRPr="0044034F" w:rsidRDefault="0044034F" w:rsidP="0044034F">
            <w:r w:rsidRPr="0044034F">
              <w:t>12. Schritt: Bekanntmachung der Wahlvorschläge</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053FDA90" w14:textId="77777777" w:rsidR="0044034F" w:rsidRPr="0044034F" w:rsidRDefault="0044034F" w:rsidP="0044034F">
            <w:r w:rsidRPr="0044034F">
              <w:t>unverzüglich nach Feststellung der Gültigkeit der Wahlvorschläge, spätestens eine Woche vor Beginn der Stimmabgabe</w:t>
            </w:r>
          </w:p>
        </w:tc>
      </w:tr>
      <w:tr w:rsidR="0044034F" w:rsidRPr="0044034F" w14:paraId="798C948B"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7406C587" w14:textId="77777777" w:rsidR="0044034F" w:rsidRPr="0044034F" w:rsidRDefault="0044034F" w:rsidP="0044034F">
            <w:r w:rsidRPr="0044034F">
              <w:t>13. Schritt: Technische Wahlvorbereitungen durch den Wahlvorstand (z. B. Anfertigung der Stimmzettel, Wahlumschläge und Briefwahlunterlagen, Beschaffung von Wahlurnen, Einrichtung des Wahllokals, Benennung von Wahlhelfern und Wahlhelferinnen)</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42D4D217" w14:textId="77777777" w:rsidR="0044034F" w:rsidRPr="0044034F" w:rsidRDefault="0044034F" w:rsidP="0044034F">
            <w:r w:rsidRPr="0044034F">
              <w:t>unverzüglich nach Bekanntgabe der Wahlvorschläge</w:t>
            </w:r>
          </w:p>
        </w:tc>
      </w:tr>
      <w:tr w:rsidR="0044034F" w:rsidRPr="0044034F" w14:paraId="65EA561D"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212B90AF" w14:textId="77777777" w:rsidR="0044034F" w:rsidRPr="0044034F" w:rsidRDefault="0044034F" w:rsidP="0044034F">
            <w:r w:rsidRPr="0044034F">
              <w:t>14. Schritt: Versendung der Briefwahlunterlagen durch den Wahlvorstand</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1F5A4A8A" w14:textId="77777777" w:rsidR="0044034F" w:rsidRPr="0044034F" w:rsidRDefault="0044034F" w:rsidP="0044034F">
            <w:r w:rsidRPr="0044034F">
              <w:t>unverzüglich nach Fertigstellung der Unterlagen, so rechtzeitig, dass sie vor Schließung der Wahllokale beim Wahlvorstand eintreffen können (Postlaufzeiten berücksichtigen)</w:t>
            </w:r>
          </w:p>
        </w:tc>
      </w:tr>
      <w:tr w:rsidR="0044034F" w:rsidRPr="0044034F" w14:paraId="10C7CFBC"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69F68966" w14:textId="77777777" w:rsidR="0044034F" w:rsidRPr="0044034F" w:rsidRDefault="0044034F" w:rsidP="0044034F">
            <w:r w:rsidRPr="0044034F">
              <w:t>15. Schritt: Abschließende Überprüfung der Wählerlisten durch den Wahlvorstand</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3201F95A" w14:textId="77777777" w:rsidR="0044034F" w:rsidRPr="0044034F" w:rsidRDefault="0044034F" w:rsidP="0044034F">
            <w:r w:rsidRPr="0044034F">
              <w:t>einen Tag vor dem Wahltag</w:t>
            </w:r>
          </w:p>
        </w:tc>
      </w:tr>
      <w:tr w:rsidR="0044034F" w:rsidRPr="0044034F" w14:paraId="27B3C8A2"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5C791133" w14:textId="77777777" w:rsidR="0044034F" w:rsidRPr="0044034F" w:rsidRDefault="0044034F" w:rsidP="0044034F">
            <w:r w:rsidRPr="0044034F">
              <w:t>16. Schritt: Organisation des Wahltages</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2B95AA52" w14:textId="77777777" w:rsidR="0044034F" w:rsidRPr="0044034F" w:rsidRDefault="0044034F" w:rsidP="0044034F">
            <w:r w:rsidRPr="0044034F">
              <w:t>Die Wahl muss spätestens eine Woche vor Ablauf der Amtszeit der bestehenden SBV stattfinden</w:t>
            </w:r>
          </w:p>
        </w:tc>
      </w:tr>
      <w:tr w:rsidR="0044034F" w:rsidRPr="0044034F" w14:paraId="7B6C4145"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3724B536" w14:textId="77777777" w:rsidR="0044034F" w:rsidRPr="0044034F" w:rsidRDefault="0044034F" w:rsidP="0044034F">
            <w:r w:rsidRPr="0044034F">
              <w:t>17. Schritt: Der Wahlvorstand öffnet die Briefwahlumschläge und wirft die Wahlumschläge der Briefwähler und Briefwählerinnen in die Wahlurne</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1648A19A" w14:textId="77777777" w:rsidR="0044034F" w:rsidRPr="0044034F" w:rsidRDefault="0044034F" w:rsidP="0044034F">
            <w:r w:rsidRPr="0044034F">
              <w:t>unmittelbar vor Ende der Stimmabgabe</w:t>
            </w:r>
          </w:p>
        </w:tc>
      </w:tr>
      <w:tr w:rsidR="0044034F" w:rsidRPr="0044034F" w14:paraId="3F3DC932"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0310FA58" w14:textId="77777777" w:rsidR="0044034F" w:rsidRPr="0044034F" w:rsidRDefault="0044034F" w:rsidP="0044034F">
            <w:r w:rsidRPr="0044034F">
              <w:t>18. Schritt: Öffentliche Stimmauszählung durch den Wahlvorstand</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3D60A243" w14:textId="77777777" w:rsidR="0044034F" w:rsidRPr="0044034F" w:rsidRDefault="0044034F" w:rsidP="0044034F">
            <w:r w:rsidRPr="0044034F">
              <w:t>unmittelbar nach Ende der Stimmabgabe</w:t>
            </w:r>
          </w:p>
        </w:tc>
      </w:tr>
      <w:tr w:rsidR="0044034F" w:rsidRPr="0044034F" w14:paraId="5A22ECBD"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405C6060" w14:textId="77777777" w:rsidR="0044034F" w:rsidRPr="0044034F" w:rsidRDefault="0044034F" w:rsidP="0044034F">
            <w:r w:rsidRPr="0044034F">
              <w:t>19. Schritt: Feststellung des Wahlergebnisses durch den Wahlvorstand, Anfertigung der Wahlniederschrift und Bekanntgabe des vorläufigen Wahlergebnisses</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32EA1B37" w14:textId="77777777" w:rsidR="0044034F" w:rsidRPr="0044034F" w:rsidRDefault="0044034F" w:rsidP="0044034F">
            <w:r w:rsidRPr="0044034F">
              <w:t>unverzüglich nach der Stimmauszählung</w:t>
            </w:r>
          </w:p>
        </w:tc>
      </w:tr>
      <w:tr w:rsidR="0044034F" w:rsidRPr="0044034F" w14:paraId="78D28DB8"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08E0EDBF" w14:textId="77777777" w:rsidR="0044034F" w:rsidRPr="0044034F" w:rsidRDefault="0044034F" w:rsidP="0044034F">
            <w:r w:rsidRPr="0044034F">
              <w:t>20. Schritt: Offizielle Benachrichtigung der gewählten Kandidaten und Kandidatinnen durch den Wahlvorstand</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380D7F1F" w14:textId="77777777" w:rsidR="0044034F" w:rsidRPr="0044034F" w:rsidRDefault="0044034F" w:rsidP="0044034F">
            <w:r w:rsidRPr="0044034F">
              <w:t>unverzüglich nach Abschluss der Wahl</w:t>
            </w:r>
          </w:p>
        </w:tc>
      </w:tr>
      <w:tr w:rsidR="0044034F" w:rsidRPr="0044034F" w14:paraId="13477EF5"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4093B44B" w14:textId="77777777" w:rsidR="0044034F" w:rsidRPr="0044034F" w:rsidRDefault="0044034F" w:rsidP="0044034F">
            <w:r w:rsidRPr="0044034F">
              <w:t>21. Schritt: Möglichkeit zur Ablehnung der Wahl durch die Gewählten</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7D788306" w14:textId="77777777" w:rsidR="0044034F" w:rsidRPr="0044034F" w:rsidRDefault="0044034F" w:rsidP="0044034F">
            <w:r w:rsidRPr="0044034F">
              <w:t>innerhalb von drei Arbeitstagen nach Zugang der Benachrichtigung durch den Wahlvorstand</w:t>
            </w:r>
          </w:p>
        </w:tc>
      </w:tr>
      <w:tr w:rsidR="0044034F" w:rsidRPr="0044034F" w14:paraId="458FD2C6"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38DE478F" w14:textId="77777777" w:rsidR="0044034F" w:rsidRPr="0044034F" w:rsidRDefault="0044034F" w:rsidP="0044034F">
            <w:r w:rsidRPr="0044034F">
              <w:t xml:space="preserve">22. Schritt: Bekanntgabe der Gewählten durch zweiwöchigen Aushang in gleicher Weise wie das Wahlausschreiben und unverzügliche Mitteilung der </w:t>
            </w:r>
            <w:r w:rsidRPr="0044034F">
              <w:lastRenderedPageBreak/>
              <w:t>Namen an den/die Arbeitgebenden sowie den Betriebs- oder Personalrat</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426C0886" w14:textId="77777777" w:rsidR="0044034F" w:rsidRPr="0044034F" w:rsidRDefault="0044034F" w:rsidP="0044034F">
            <w:r w:rsidRPr="0044034F">
              <w:lastRenderedPageBreak/>
              <w:t>sobald die Gewählten feststehen</w:t>
            </w:r>
          </w:p>
        </w:tc>
      </w:tr>
      <w:tr w:rsidR="0044034F" w:rsidRPr="0044034F" w14:paraId="784BAA0E"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3995C475" w14:textId="77777777" w:rsidR="0044034F" w:rsidRPr="0044034F" w:rsidRDefault="0044034F" w:rsidP="0044034F">
            <w:r w:rsidRPr="0044034F">
              <w:t xml:space="preserve">23. Schritt: Übergabe </w:t>
            </w:r>
            <w:proofErr w:type="gramStart"/>
            <w:r w:rsidRPr="0044034F">
              <w:t>der Wahlakten</w:t>
            </w:r>
            <w:proofErr w:type="gramEnd"/>
            <w:r w:rsidRPr="0044034F">
              <w:t xml:space="preserve"> an den neuen Schwerbehindertenvertreter / die neue Schwerbehindertenvertreterin durch den Wahlvorstand</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419E7DC4" w14:textId="77777777" w:rsidR="0044034F" w:rsidRPr="0044034F" w:rsidRDefault="0044034F" w:rsidP="0044034F">
            <w:r w:rsidRPr="0044034F">
              <w:t>im Anschluss an die konstituierende Sitzung</w:t>
            </w:r>
          </w:p>
        </w:tc>
      </w:tr>
      <w:tr w:rsidR="0044034F" w:rsidRPr="0044034F" w14:paraId="3A396362" w14:textId="77777777" w:rsidTr="00B8407E">
        <w:tblPrEx>
          <w:tblBorders>
            <w:top w:val="none" w:sz="0" w:space="0" w:color="auto"/>
          </w:tblBorders>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09C7E3D5" w14:textId="77777777" w:rsidR="0044034F" w:rsidRPr="0044034F" w:rsidRDefault="0044034F" w:rsidP="0044034F">
            <w:r w:rsidRPr="0044034F">
              <w:t>24. Schritt: Ablauf der Anfechtungsfrist abwarten</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547C28E3" w14:textId="77777777" w:rsidR="0044034F" w:rsidRPr="0044034F" w:rsidRDefault="0044034F" w:rsidP="0044034F">
            <w:r w:rsidRPr="0044034F">
              <w:t>zwei Wochen nach Bekanntmachung des Wahlergebnisses</w:t>
            </w:r>
          </w:p>
        </w:tc>
      </w:tr>
      <w:tr w:rsidR="0044034F" w:rsidRPr="0044034F" w14:paraId="4AE2F337" w14:textId="77777777" w:rsidTr="00B8407E">
        <w:tblPrEx>
          <w:tblCellMar>
            <w:top w:w="0" w:type="dxa"/>
            <w:bottom w:w="0" w:type="dxa"/>
          </w:tblCellMar>
        </w:tblPrEx>
        <w:tc>
          <w:tcPr>
            <w:tcW w:w="6036" w:type="dxa"/>
            <w:tcBorders>
              <w:top w:val="none" w:sz="6" w:space="0" w:color="auto"/>
              <w:bottom w:val="none" w:sz="6" w:space="0" w:color="auto"/>
              <w:right w:val="none" w:sz="6" w:space="0" w:color="auto"/>
            </w:tcBorders>
            <w:tcMar>
              <w:top w:w="20" w:type="nil"/>
              <w:left w:w="20" w:type="nil"/>
              <w:bottom w:w="20" w:type="nil"/>
              <w:right w:w="20" w:type="nil"/>
            </w:tcMar>
          </w:tcPr>
          <w:p w14:paraId="46A6750D" w14:textId="77777777" w:rsidR="0044034F" w:rsidRPr="0044034F" w:rsidRDefault="0044034F" w:rsidP="0044034F">
            <w:r w:rsidRPr="0044034F">
              <w:t>25. Schritt: Vernichtung der verspätet eingegangenen ungeöffneten Briefwahlumschläge</w:t>
            </w:r>
          </w:p>
        </w:tc>
        <w:tc>
          <w:tcPr>
            <w:tcW w:w="2861" w:type="dxa"/>
            <w:tcBorders>
              <w:top w:val="none" w:sz="6" w:space="0" w:color="auto"/>
              <w:left w:val="none" w:sz="6" w:space="0" w:color="auto"/>
              <w:bottom w:val="none" w:sz="6" w:space="0" w:color="auto"/>
            </w:tcBorders>
            <w:tcMar>
              <w:top w:w="20" w:type="nil"/>
              <w:left w:w="20" w:type="nil"/>
              <w:bottom w:w="20" w:type="nil"/>
              <w:right w:w="20" w:type="nil"/>
            </w:tcMar>
          </w:tcPr>
          <w:p w14:paraId="7AE55460" w14:textId="77777777" w:rsidR="0044034F" w:rsidRPr="0044034F" w:rsidRDefault="0044034F" w:rsidP="0044034F">
            <w:r w:rsidRPr="0044034F">
              <w:t>einen Monat nach Bekanntgabe des Wahlergebnisses – vorausgesetzt, es ist keine Wahlanfechtung erfolgt</w:t>
            </w:r>
          </w:p>
        </w:tc>
      </w:tr>
    </w:tbl>
    <w:p w14:paraId="408BAE8E" w14:textId="77777777" w:rsidR="0044034F" w:rsidRPr="0044034F" w:rsidRDefault="0044034F" w:rsidP="0044034F">
      <w:pPr>
        <w:rPr>
          <w:lang w:eastAsia="de-DE"/>
        </w:rPr>
      </w:pPr>
    </w:p>
    <w:sectPr w:rsidR="0044034F" w:rsidRPr="004403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Zapf Dingbats">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C7E"/>
    <w:multiLevelType w:val="hybridMultilevel"/>
    <w:tmpl w:val="9EBAC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B43DEC"/>
    <w:multiLevelType w:val="hybridMultilevel"/>
    <w:tmpl w:val="80ACC3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2D842F3"/>
    <w:multiLevelType w:val="hybridMultilevel"/>
    <w:tmpl w:val="39D400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404CD3"/>
    <w:multiLevelType w:val="hybridMultilevel"/>
    <w:tmpl w:val="185AA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582284"/>
    <w:multiLevelType w:val="hybridMultilevel"/>
    <w:tmpl w:val="C4FC7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E00861"/>
    <w:multiLevelType w:val="hybridMultilevel"/>
    <w:tmpl w:val="ABA214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2FB674C"/>
    <w:multiLevelType w:val="hybridMultilevel"/>
    <w:tmpl w:val="3B6AC4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10060147">
    <w:abstractNumId w:val="1"/>
  </w:num>
  <w:num w:numId="2" w16cid:durableId="685325100">
    <w:abstractNumId w:val="5"/>
  </w:num>
  <w:num w:numId="3" w16cid:durableId="265428861">
    <w:abstractNumId w:val="3"/>
  </w:num>
  <w:num w:numId="4" w16cid:durableId="1546987782">
    <w:abstractNumId w:val="6"/>
  </w:num>
  <w:num w:numId="5" w16cid:durableId="1971782710">
    <w:abstractNumId w:val="2"/>
  </w:num>
  <w:num w:numId="6" w16cid:durableId="2070348806">
    <w:abstractNumId w:val="0"/>
  </w:num>
  <w:num w:numId="7" w16cid:durableId="229778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7DF"/>
    <w:rsid w:val="000D129B"/>
    <w:rsid w:val="0011758A"/>
    <w:rsid w:val="00164A8D"/>
    <w:rsid w:val="001857D0"/>
    <w:rsid w:val="00190F7F"/>
    <w:rsid w:val="0019144B"/>
    <w:rsid w:val="002B7BBE"/>
    <w:rsid w:val="0032644E"/>
    <w:rsid w:val="00374E82"/>
    <w:rsid w:val="003D6F6C"/>
    <w:rsid w:val="003F4550"/>
    <w:rsid w:val="0044034F"/>
    <w:rsid w:val="00484339"/>
    <w:rsid w:val="005257DF"/>
    <w:rsid w:val="00572DD9"/>
    <w:rsid w:val="00591167"/>
    <w:rsid w:val="005D0097"/>
    <w:rsid w:val="005E645B"/>
    <w:rsid w:val="0078069B"/>
    <w:rsid w:val="007C3C53"/>
    <w:rsid w:val="008E6E7E"/>
    <w:rsid w:val="009C3F35"/>
    <w:rsid w:val="00A21005"/>
    <w:rsid w:val="00A32A28"/>
    <w:rsid w:val="00A56160"/>
    <w:rsid w:val="00AA17D2"/>
    <w:rsid w:val="00B03A8A"/>
    <w:rsid w:val="00B12894"/>
    <w:rsid w:val="00B8407E"/>
    <w:rsid w:val="00B87A84"/>
    <w:rsid w:val="00C11E35"/>
    <w:rsid w:val="00C66FE0"/>
    <w:rsid w:val="00CF41FB"/>
    <w:rsid w:val="00D9088B"/>
    <w:rsid w:val="00DC404A"/>
    <w:rsid w:val="00E201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FDEA475"/>
  <w15:chartTrackingRefBased/>
  <w15:docId w15:val="{C2B28EB9-979C-DE4E-B8EB-3440C0C7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129B"/>
  </w:style>
  <w:style w:type="paragraph" w:styleId="berschrift1">
    <w:name w:val="heading 1"/>
    <w:basedOn w:val="Standard"/>
    <w:next w:val="Standard"/>
    <w:link w:val="berschrift1Zchn"/>
    <w:uiPriority w:val="9"/>
    <w:qFormat/>
    <w:rsid w:val="005257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257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257D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257D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257D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257D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257D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257D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257D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57D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257D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257D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257D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257D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257D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257D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257D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257DF"/>
    <w:rPr>
      <w:rFonts w:eastAsiaTheme="majorEastAsia" w:cstheme="majorBidi"/>
      <w:color w:val="272727" w:themeColor="text1" w:themeTint="D8"/>
    </w:rPr>
  </w:style>
  <w:style w:type="paragraph" w:styleId="Titel">
    <w:name w:val="Title"/>
    <w:basedOn w:val="Standard"/>
    <w:next w:val="Standard"/>
    <w:link w:val="TitelZchn"/>
    <w:uiPriority w:val="10"/>
    <w:qFormat/>
    <w:rsid w:val="005257D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257D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257D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257D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257D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257DF"/>
    <w:rPr>
      <w:i/>
      <w:iCs/>
      <w:color w:val="404040" w:themeColor="text1" w:themeTint="BF"/>
    </w:rPr>
  </w:style>
  <w:style w:type="paragraph" w:styleId="Listenabsatz">
    <w:name w:val="List Paragraph"/>
    <w:basedOn w:val="Standard"/>
    <w:uiPriority w:val="34"/>
    <w:qFormat/>
    <w:rsid w:val="005257DF"/>
    <w:pPr>
      <w:ind w:left="720"/>
      <w:contextualSpacing/>
    </w:pPr>
  </w:style>
  <w:style w:type="character" w:styleId="IntensiveHervorhebung">
    <w:name w:val="Intense Emphasis"/>
    <w:basedOn w:val="Absatz-Standardschriftart"/>
    <w:uiPriority w:val="21"/>
    <w:qFormat/>
    <w:rsid w:val="005257DF"/>
    <w:rPr>
      <w:i/>
      <w:iCs/>
      <w:color w:val="2F5496" w:themeColor="accent1" w:themeShade="BF"/>
    </w:rPr>
  </w:style>
  <w:style w:type="paragraph" w:styleId="IntensivesZitat">
    <w:name w:val="Intense Quote"/>
    <w:basedOn w:val="Standard"/>
    <w:next w:val="Standard"/>
    <w:link w:val="IntensivesZitatZchn"/>
    <w:uiPriority w:val="30"/>
    <w:qFormat/>
    <w:rsid w:val="005257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257DF"/>
    <w:rPr>
      <w:i/>
      <w:iCs/>
      <w:color w:val="2F5496" w:themeColor="accent1" w:themeShade="BF"/>
    </w:rPr>
  </w:style>
  <w:style w:type="character" w:styleId="IntensiverVerweis">
    <w:name w:val="Intense Reference"/>
    <w:basedOn w:val="Absatz-Standardschriftart"/>
    <w:uiPriority w:val="32"/>
    <w:qFormat/>
    <w:rsid w:val="005257DF"/>
    <w:rPr>
      <w:b/>
      <w:bCs/>
      <w:smallCaps/>
      <w:color w:val="2F5496" w:themeColor="accent1" w:themeShade="BF"/>
      <w:spacing w:val="5"/>
    </w:rPr>
  </w:style>
  <w:style w:type="paragraph" w:customStyle="1" w:styleId="p1">
    <w:name w:val="p1"/>
    <w:basedOn w:val="Standard"/>
    <w:rsid w:val="005257DF"/>
    <w:rPr>
      <w:rFonts w:ascii="Helvetica" w:eastAsia="Times New Roman" w:hAnsi="Helvetica" w:cs="Times New Roman"/>
      <w:color w:val="118BB5"/>
      <w:kern w:val="0"/>
      <w:sz w:val="16"/>
      <w:szCs w:val="16"/>
      <w:lang w:eastAsia="de-DE"/>
      <w14:ligatures w14:val="none"/>
    </w:rPr>
  </w:style>
  <w:style w:type="paragraph" w:customStyle="1" w:styleId="p2">
    <w:name w:val="p2"/>
    <w:basedOn w:val="Standard"/>
    <w:rsid w:val="005257DF"/>
    <w:rPr>
      <w:rFonts w:ascii="Palatino" w:eastAsia="Times New Roman" w:hAnsi="Palatino" w:cs="Times New Roman"/>
      <w:color w:val="000000"/>
      <w:kern w:val="0"/>
      <w:sz w:val="14"/>
      <w:szCs w:val="14"/>
      <w:lang w:eastAsia="de-DE"/>
      <w14:ligatures w14:val="none"/>
    </w:rPr>
  </w:style>
  <w:style w:type="table" w:styleId="Tabellenraster">
    <w:name w:val="Table Grid"/>
    <w:basedOn w:val="NormaleTabelle"/>
    <w:uiPriority w:val="39"/>
    <w:rsid w:val="00484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bsatz-Standardschriftart"/>
    <w:rsid w:val="00484339"/>
    <w:rPr>
      <w:rFonts w:ascii="Zapf Dingbats" w:hAnsi="Zapf Dingbats" w:hint="default"/>
      <w:color w:val="1081AD"/>
      <w:sz w:val="14"/>
      <w:szCs w:val="14"/>
    </w:rPr>
  </w:style>
  <w:style w:type="paragraph" w:customStyle="1" w:styleId="p3">
    <w:name w:val="p3"/>
    <w:basedOn w:val="Standard"/>
    <w:rsid w:val="00B87A84"/>
    <w:rPr>
      <w:rFonts w:ascii="Helvetica" w:eastAsia="Times New Roman" w:hAnsi="Helvetica" w:cs="Times New Roman"/>
      <w:color w:val="1081AD"/>
      <w:kern w:val="0"/>
      <w:sz w:val="18"/>
      <w:szCs w:val="18"/>
      <w:lang w:eastAsia="de-DE"/>
      <w14:ligatures w14:val="none"/>
    </w:rPr>
  </w:style>
  <w:style w:type="paragraph" w:customStyle="1" w:styleId="p4">
    <w:name w:val="p4"/>
    <w:basedOn w:val="Standard"/>
    <w:rsid w:val="00B87A84"/>
    <w:rPr>
      <w:rFonts w:ascii="Helvetica" w:eastAsia="Times New Roman" w:hAnsi="Helvetica" w:cs="Times New Roman"/>
      <w:color w:val="FFFFFF"/>
      <w:kern w:val="0"/>
      <w:sz w:val="16"/>
      <w:szCs w:val="16"/>
      <w:lang w:eastAsia="de-DE"/>
      <w14:ligatures w14:val="none"/>
    </w:rPr>
  </w:style>
  <w:style w:type="character" w:customStyle="1" w:styleId="s2">
    <w:name w:val="s2"/>
    <w:basedOn w:val="Absatz-Standardschriftart"/>
    <w:rsid w:val="00B87A84"/>
    <w:rPr>
      <w:rFonts w:ascii="Helvetica" w:hAnsi="Helvetica"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4274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3</cp:revision>
  <dcterms:created xsi:type="dcterms:W3CDTF">2026-01-21T09:21:00Z</dcterms:created>
  <dcterms:modified xsi:type="dcterms:W3CDTF">2026-01-21T09:22:00Z</dcterms:modified>
</cp:coreProperties>
</file>