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1346" w14:textId="3832E9F0" w:rsidR="00A854D4" w:rsidRPr="008676B6" w:rsidRDefault="008676B6">
      <w:pPr>
        <w:rPr>
          <w:b/>
          <w:sz w:val="26"/>
          <w:szCs w:val="26"/>
        </w:rPr>
      </w:pPr>
      <w:r w:rsidRPr="008676B6">
        <w:rPr>
          <w:b/>
          <w:sz w:val="26"/>
          <w:szCs w:val="26"/>
        </w:rPr>
        <w:t>Überraschungen im Arbeitsrecht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540FD" w14:paraId="7B060184" w14:textId="77777777" w:rsidTr="008676B6">
        <w:tc>
          <w:tcPr>
            <w:tcW w:w="3256" w:type="dxa"/>
          </w:tcPr>
          <w:p w14:paraId="53ED5CB9" w14:textId="77777777" w:rsidR="009540FD" w:rsidRPr="001F1A55" w:rsidRDefault="009540FD" w:rsidP="009540FD">
            <w:pPr>
              <w:rPr>
                <w:b/>
                <w:bCs/>
              </w:rPr>
            </w:pPr>
            <w:r>
              <w:rPr>
                <w:b/>
                <w:bCs/>
              </w:rPr>
              <w:t>Beweise</w:t>
            </w:r>
          </w:p>
          <w:p w14:paraId="70E3ABED" w14:textId="77777777" w:rsidR="009540FD" w:rsidRDefault="009540FD" w:rsidP="00034137">
            <w:pPr>
              <w:ind w:firstLine="0"/>
            </w:pPr>
          </w:p>
        </w:tc>
        <w:tc>
          <w:tcPr>
            <w:tcW w:w="7200" w:type="dxa"/>
          </w:tcPr>
          <w:p w14:paraId="3E18C105" w14:textId="77777777" w:rsidR="00C23733" w:rsidRPr="008676B6" w:rsidRDefault="009540FD" w:rsidP="009540FD">
            <w:pPr>
              <w:rPr>
                <w:b/>
                <w:bCs/>
                <w:i/>
                <w:iCs/>
              </w:rPr>
            </w:pPr>
            <w:r w:rsidRPr="008676B6">
              <w:rPr>
                <w:b/>
                <w:bCs/>
                <w:i/>
                <w:iCs/>
              </w:rPr>
              <w:t xml:space="preserve">Nur Beweise zählen vor Gericht? </w:t>
            </w:r>
          </w:p>
          <w:p w14:paraId="7738450D" w14:textId="77777777" w:rsidR="00C23733" w:rsidRDefault="00C23733" w:rsidP="009540FD"/>
          <w:p w14:paraId="45CF4DB1" w14:textId="77777777" w:rsidR="00C23733" w:rsidRDefault="009540FD" w:rsidP="009540FD">
            <w:r>
              <w:t xml:space="preserve">Nein, das stimmt so nicht. </w:t>
            </w:r>
          </w:p>
          <w:p w14:paraId="21DA4D9F" w14:textId="77777777" w:rsidR="00C23733" w:rsidRDefault="00C23733" w:rsidP="009540FD"/>
          <w:p w14:paraId="33FD1D6A" w14:textId="0D73C97A" w:rsidR="00C23733" w:rsidRDefault="009540FD" w:rsidP="009540FD">
            <w:r>
              <w:t xml:space="preserve">Mindestens ebenso wichtig ist die Darlegung konkreter Tatsachen. Diese muss einem eventuellen Beweis immer vorangehen. Wer die Stufe der Darlegung nicht erfolgreich nimmt, kommt gar nicht </w:t>
            </w:r>
            <w:r w:rsidR="008676B6">
              <w:t xml:space="preserve">erst </w:t>
            </w:r>
            <w:r>
              <w:t xml:space="preserve">in eine Beweisaufnahme. </w:t>
            </w:r>
          </w:p>
          <w:p w14:paraId="08473F29" w14:textId="77777777" w:rsidR="00C23733" w:rsidRDefault="00C23733" w:rsidP="009540FD"/>
          <w:p w14:paraId="1DFCAAEC" w14:textId="3AA2D514" w:rsidR="00C23733" w:rsidRDefault="009540FD" w:rsidP="009540FD">
            <w:r>
              <w:t>Auch noch so viele Zeug</w:t>
            </w:r>
            <w:r w:rsidR="008676B6">
              <w:t>*inn</w:t>
            </w:r>
            <w:r>
              <w:t xml:space="preserve">en nützen daher nichts, wenn </w:t>
            </w:r>
            <w:r w:rsidR="00C23733">
              <w:t>man</w:t>
            </w:r>
            <w:r>
              <w:t xml:space="preserve"> dem Gericht nicht „</w:t>
            </w:r>
            <w:r w:rsidR="009F03D6">
              <w:t>substanziiert</w:t>
            </w:r>
            <w:r>
              <w:t>“, d</w:t>
            </w:r>
            <w:r w:rsidR="009F03D6">
              <w:t>as heißt</w:t>
            </w:r>
            <w:r>
              <w:t xml:space="preserve"> konkret</w:t>
            </w:r>
            <w:r w:rsidR="009F03D6">
              <w:t>,</w:t>
            </w:r>
            <w:r>
              <w:t xml:space="preserve"> darlegen k</w:t>
            </w:r>
            <w:r w:rsidR="00C23733">
              <w:t>ann</w:t>
            </w:r>
            <w:r>
              <w:t xml:space="preserve">, wie sich Dinge genau zugetragen haben. </w:t>
            </w:r>
          </w:p>
          <w:p w14:paraId="098729B2" w14:textId="77777777" w:rsidR="00C23733" w:rsidRDefault="00C23733" w:rsidP="009540FD"/>
          <w:p w14:paraId="4F521F3D" w14:textId="4ECF786B" w:rsidR="009540FD" w:rsidRDefault="009540FD" w:rsidP="009540FD">
            <w:r>
              <w:t>Außerdem ist der in der Praxis meist vorkommende Zeug</w:t>
            </w:r>
            <w:r w:rsidR="008676B6">
              <w:t>*inn</w:t>
            </w:r>
            <w:r>
              <w:t xml:space="preserve">enbeweis </w:t>
            </w:r>
            <w:r w:rsidR="009F03D6">
              <w:t xml:space="preserve">häufig </w:t>
            </w:r>
            <w:r>
              <w:t>unsicher. Zeug</w:t>
            </w:r>
            <w:r w:rsidR="008676B6">
              <w:t>*inn</w:t>
            </w:r>
            <w:r>
              <w:t>en erinnern sich oft schlecht oder anders, als man es von ihnen erwartet hat.</w:t>
            </w:r>
          </w:p>
          <w:p w14:paraId="69479AAE" w14:textId="77777777" w:rsidR="009540FD" w:rsidRDefault="009540FD" w:rsidP="00034137">
            <w:pPr>
              <w:ind w:firstLine="0"/>
            </w:pPr>
          </w:p>
        </w:tc>
      </w:tr>
      <w:tr w:rsidR="009540FD" w14:paraId="34699BDE" w14:textId="77777777" w:rsidTr="008676B6">
        <w:tc>
          <w:tcPr>
            <w:tcW w:w="3256" w:type="dxa"/>
          </w:tcPr>
          <w:p w14:paraId="3794845E" w14:textId="77777777" w:rsidR="009540FD" w:rsidRPr="00FC35F7" w:rsidRDefault="009540FD" w:rsidP="009540FD">
            <w:pPr>
              <w:rPr>
                <w:b/>
                <w:bCs/>
              </w:rPr>
            </w:pPr>
            <w:r w:rsidRPr="00FC35F7">
              <w:rPr>
                <w:b/>
                <w:bCs/>
              </w:rPr>
              <w:t>Abmahnungen</w:t>
            </w:r>
          </w:p>
          <w:p w14:paraId="30750BE8" w14:textId="77777777" w:rsidR="009540FD" w:rsidRDefault="009540FD" w:rsidP="00034137">
            <w:pPr>
              <w:ind w:firstLine="0"/>
            </w:pPr>
          </w:p>
        </w:tc>
        <w:tc>
          <w:tcPr>
            <w:tcW w:w="7200" w:type="dxa"/>
          </w:tcPr>
          <w:p w14:paraId="2EF29180" w14:textId="77777777" w:rsidR="00C23733" w:rsidRPr="008676B6" w:rsidRDefault="009540FD" w:rsidP="009540FD">
            <w:pPr>
              <w:rPr>
                <w:b/>
                <w:bCs/>
                <w:i/>
                <w:iCs/>
              </w:rPr>
            </w:pPr>
            <w:r w:rsidRPr="008676B6">
              <w:rPr>
                <w:b/>
                <w:bCs/>
                <w:i/>
                <w:iCs/>
              </w:rPr>
              <w:t xml:space="preserve">3 Abmahnungen berechtigen nicht zur Kündigung. </w:t>
            </w:r>
          </w:p>
          <w:p w14:paraId="5397F871" w14:textId="77777777" w:rsidR="00C23733" w:rsidRDefault="00C23733" w:rsidP="009540FD"/>
          <w:p w14:paraId="55500B87" w14:textId="77777777" w:rsidR="008676B6" w:rsidRDefault="009540FD" w:rsidP="008676B6">
            <w:r>
              <w:t xml:space="preserve">Es muss immer noch einen Kündigungsgrund geben. Der aber setzt wiederum nicht immer überhaupt auch nur eine einzige Abmahnung voraus. </w:t>
            </w:r>
          </w:p>
          <w:p w14:paraId="2748209B" w14:textId="77777777" w:rsidR="008676B6" w:rsidRDefault="008676B6" w:rsidP="008676B6"/>
          <w:p w14:paraId="5A17BCDF" w14:textId="7AD70E2F" w:rsidR="009540FD" w:rsidRPr="008676B6" w:rsidRDefault="009540FD" w:rsidP="008676B6">
            <w:r>
              <w:t>Insgesamt ist das Verhältnis von Abmahnung und Kündigung sehr vielschichtig und immer im Einzelfall zu beurteilen.</w:t>
            </w:r>
          </w:p>
          <w:p w14:paraId="15568CF0" w14:textId="77777777" w:rsidR="009540FD" w:rsidRDefault="009540FD" w:rsidP="00034137">
            <w:pPr>
              <w:ind w:firstLine="0"/>
            </w:pPr>
          </w:p>
        </w:tc>
      </w:tr>
      <w:tr w:rsidR="009540FD" w14:paraId="68EC564D" w14:textId="77777777" w:rsidTr="008676B6">
        <w:tc>
          <w:tcPr>
            <w:tcW w:w="3256" w:type="dxa"/>
          </w:tcPr>
          <w:p w14:paraId="625FCBE3" w14:textId="77777777" w:rsidR="009540FD" w:rsidRPr="00FC35F7" w:rsidRDefault="009540FD" w:rsidP="009540FD">
            <w:pPr>
              <w:rPr>
                <w:b/>
                <w:bCs/>
              </w:rPr>
            </w:pPr>
            <w:r w:rsidRPr="00FC35F7">
              <w:rPr>
                <w:b/>
                <w:bCs/>
              </w:rPr>
              <w:t>Abfindung</w:t>
            </w:r>
          </w:p>
          <w:p w14:paraId="528D74D4" w14:textId="77777777" w:rsidR="009540FD" w:rsidRDefault="009540FD" w:rsidP="00034137">
            <w:pPr>
              <w:ind w:firstLine="0"/>
            </w:pPr>
          </w:p>
        </w:tc>
        <w:tc>
          <w:tcPr>
            <w:tcW w:w="7200" w:type="dxa"/>
          </w:tcPr>
          <w:p w14:paraId="1568188D" w14:textId="77777777" w:rsidR="00C23733" w:rsidRPr="008676B6" w:rsidRDefault="009540FD" w:rsidP="009540FD">
            <w:pPr>
              <w:rPr>
                <w:b/>
                <w:bCs/>
                <w:i/>
                <w:iCs/>
              </w:rPr>
            </w:pPr>
            <w:r w:rsidRPr="008676B6">
              <w:rPr>
                <w:b/>
                <w:bCs/>
                <w:i/>
                <w:iCs/>
              </w:rPr>
              <w:t xml:space="preserve">Auf eine Abfindung gibt es in aller Regel keinen Anspruch. </w:t>
            </w:r>
          </w:p>
          <w:p w14:paraId="0DC3D089" w14:textId="77777777" w:rsidR="00C23733" w:rsidRDefault="00C23733" w:rsidP="009540FD"/>
          <w:p w14:paraId="7771FC70" w14:textId="77777777" w:rsidR="00C23733" w:rsidRDefault="009540FD" w:rsidP="009540FD">
            <w:r>
              <w:t xml:space="preserve">Lassen Sie sich von der Faustformel „1/2 Bruttomonatsgehalt pro Beschäftigungsjahr“ nicht täuschen. Die Formel ist nicht verbindlich. Entscheidend ist der Verhandlungsdruck, der aufgebaut werden kann. </w:t>
            </w:r>
          </w:p>
          <w:p w14:paraId="55245606" w14:textId="77777777" w:rsidR="00C23733" w:rsidRDefault="00C23733" w:rsidP="009540FD"/>
          <w:p w14:paraId="06DBCBF9" w14:textId="151793C8" w:rsidR="009540FD" w:rsidRDefault="009540FD" w:rsidP="008676B6">
            <w:r>
              <w:t>Die Preisfrage lautet: Wer will dringender das Dienstverhältnis beenden und wer hat die Initiative hierzu ergriffen bzw. erfolgreich der anderen Seite überlassen?</w:t>
            </w:r>
          </w:p>
          <w:p w14:paraId="17C7D969" w14:textId="77777777" w:rsidR="009540FD" w:rsidRDefault="009540FD" w:rsidP="00034137">
            <w:pPr>
              <w:ind w:firstLine="0"/>
            </w:pPr>
          </w:p>
        </w:tc>
      </w:tr>
      <w:tr w:rsidR="009540FD" w14:paraId="05CDBA90" w14:textId="77777777" w:rsidTr="008676B6">
        <w:tc>
          <w:tcPr>
            <w:tcW w:w="3256" w:type="dxa"/>
          </w:tcPr>
          <w:p w14:paraId="53C5B3F9" w14:textId="77777777" w:rsidR="009540FD" w:rsidRDefault="009540FD" w:rsidP="009540FD"/>
          <w:p w14:paraId="62962C5A" w14:textId="77777777" w:rsidR="009540FD" w:rsidRPr="00B648F5" w:rsidRDefault="009540FD" w:rsidP="009540FD">
            <w:pPr>
              <w:rPr>
                <w:b/>
                <w:bCs/>
              </w:rPr>
            </w:pPr>
            <w:r w:rsidRPr="00B648F5">
              <w:rPr>
                <w:b/>
                <w:bCs/>
              </w:rPr>
              <w:t>Arbeitsfrei</w:t>
            </w:r>
          </w:p>
          <w:p w14:paraId="4DB7BAEA" w14:textId="77777777" w:rsidR="009540FD" w:rsidRDefault="009540FD" w:rsidP="00034137">
            <w:pPr>
              <w:ind w:firstLine="0"/>
            </w:pPr>
          </w:p>
        </w:tc>
        <w:tc>
          <w:tcPr>
            <w:tcW w:w="7200" w:type="dxa"/>
          </w:tcPr>
          <w:p w14:paraId="523B4459" w14:textId="77777777" w:rsidR="00C23733" w:rsidRPr="008676B6" w:rsidRDefault="009540FD" w:rsidP="009540FD">
            <w:pPr>
              <w:rPr>
                <w:b/>
                <w:bCs/>
                <w:i/>
                <w:iCs/>
              </w:rPr>
            </w:pPr>
            <w:r w:rsidRPr="008676B6">
              <w:rPr>
                <w:b/>
                <w:bCs/>
                <w:i/>
                <w:iCs/>
              </w:rPr>
              <w:t xml:space="preserve">Es gibt verschiedene rechtliche Gründe dafür, nicht arbeiten zu müssen und „frei“ zu haben. </w:t>
            </w:r>
          </w:p>
          <w:p w14:paraId="64FD3772" w14:textId="77777777" w:rsidR="00C23733" w:rsidRDefault="00C23733" w:rsidP="009540FD"/>
          <w:p w14:paraId="30A41A32" w14:textId="77777777" w:rsidR="00C23733" w:rsidRDefault="009540FD" w:rsidP="009540FD">
            <w:r>
              <w:t xml:space="preserve">Neben Urlaub kommen auch Krankheit, Überstundenabbau oder einfach eine arbeitsfreie Zeit nach Schichtplan in Betracht. Zudem gibt es noch die „halbfreie“ Zeit im Bereitschaftsdienst oder in der Rufbereitschaft. </w:t>
            </w:r>
          </w:p>
          <w:p w14:paraId="30190D40" w14:textId="77777777" w:rsidR="00C23733" w:rsidRDefault="00C23733" w:rsidP="009540FD"/>
          <w:p w14:paraId="3007E123" w14:textId="228DAC55" w:rsidR="009540FD" w:rsidRDefault="009540FD" w:rsidP="009540FD">
            <w:r>
              <w:t>In der Praxis fühlen sich diese arbeitsfreien Zeiten oft gleich an, können aber durchaus sehr unterschiedliche Folgen haben, wenn außerplanmäßige Dinge passieren. Dann zeigt sich mitunter ihr „wahres Gesicht“.</w:t>
            </w:r>
          </w:p>
          <w:p w14:paraId="1C8A6EEA" w14:textId="77777777" w:rsidR="009540FD" w:rsidRDefault="009540FD" w:rsidP="00034137">
            <w:pPr>
              <w:ind w:firstLine="0"/>
            </w:pPr>
          </w:p>
        </w:tc>
      </w:tr>
      <w:tr w:rsidR="009540FD" w14:paraId="3463103A" w14:textId="77777777" w:rsidTr="008676B6">
        <w:tc>
          <w:tcPr>
            <w:tcW w:w="3256" w:type="dxa"/>
          </w:tcPr>
          <w:p w14:paraId="41FDDD54" w14:textId="77777777" w:rsidR="009540FD" w:rsidRPr="00B648F5" w:rsidRDefault="009540FD" w:rsidP="009540FD">
            <w:pPr>
              <w:rPr>
                <w:b/>
                <w:bCs/>
              </w:rPr>
            </w:pPr>
            <w:r w:rsidRPr="00B648F5">
              <w:rPr>
                <w:b/>
                <w:bCs/>
              </w:rPr>
              <w:t>Kündigung und Begründung</w:t>
            </w:r>
          </w:p>
          <w:p w14:paraId="407AD897" w14:textId="77777777" w:rsidR="009540FD" w:rsidRDefault="009540FD" w:rsidP="00034137">
            <w:pPr>
              <w:ind w:firstLine="0"/>
            </w:pPr>
          </w:p>
        </w:tc>
        <w:tc>
          <w:tcPr>
            <w:tcW w:w="7200" w:type="dxa"/>
          </w:tcPr>
          <w:p w14:paraId="3989E553" w14:textId="77777777" w:rsidR="00C23733" w:rsidRPr="008676B6" w:rsidRDefault="009540FD" w:rsidP="009540FD">
            <w:pPr>
              <w:rPr>
                <w:b/>
                <w:bCs/>
                <w:i/>
                <w:iCs/>
              </w:rPr>
            </w:pPr>
            <w:r w:rsidRPr="008676B6">
              <w:rPr>
                <w:b/>
                <w:bCs/>
                <w:i/>
                <w:iCs/>
              </w:rPr>
              <w:t xml:space="preserve">Fast jede Kündigung muss einen Grund haben, der auch juristisch relevant ist. </w:t>
            </w:r>
          </w:p>
          <w:p w14:paraId="0A7734FC" w14:textId="77777777" w:rsidR="00C23733" w:rsidRDefault="00C23733" w:rsidP="009540FD"/>
          <w:p w14:paraId="7E2E50AD" w14:textId="4079710F" w:rsidR="00C23733" w:rsidRDefault="009540FD" w:rsidP="009540FD">
            <w:r>
              <w:t>Der</w:t>
            </w:r>
            <w:r w:rsidR="008676B6">
              <w:t>*Die</w:t>
            </w:r>
            <w:r>
              <w:t xml:space="preserve"> Dienstgebe</w:t>
            </w:r>
            <w:r w:rsidR="008676B6">
              <w:t>nde</w:t>
            </w:r>
            <w:r>
              <w:t xml:space="preserve"> muss diesen Grund dem</w:t>
            </w:r>
            <w:r w:rsidR="008676B6">
              <w:t>*der</w:t>
            </w:r>
            <w:r>
              <w:t xml:space="preserve"> Mitarbeite</w:t>
            </w:r>
            <w:r w:rsidR="008676B6">
              <w:t>nden</w:t>
            </w:r>
            <w:r>
              <w:t xml:space="preserve"> gegenüber erst im Kündigungsschutzprozess offenlegen. </w:t>
            </w:r>
          </w:p>
          <w:p w14:paraId="33ADE362" w14:textId="77777777" w:rsidR="00C23733" w:rsidRDefault="00C23733" w:rsidP="009540FD"/>
          <w:p w14:paraId="5A5F2E8F" w14:textId="111B1951" w:rsidR="00C23733" w:rsidRDefault="009540FD" w:rsidP="009540FD">
            <w:r>
              <w:lastRenderedPageBreak/>
              <w:t>Gegenüber Ihnen als MAV muss der</w:t>
            </w:r>
            <w:r w:rsidR="008676B6">
              <w:t>*die</w:t>
            </w:r>
            <w:r>
              <w:t xml:space="preserve"> Dienstgebe</w:t>
            </w:r>
            <w:r w:rsidR="008676B6">
              <w:t>nde</w:t>
            </w:r>
            <w:r>
              <w:t xml:space="preserve"> hingegen schon in einem sehr frühen Stadium, nämlich vor Ausspruch der Kündigung</w:t>
            </w:r>
            <w:r w:rsidR="009F03D6">
              <w:t>,</w:t>
            </w:r>
            <w:r>
              <w:t xml:space="preserve"> „Farbe bekennen“. </w:t>
            </w:r>
          </w:p>
          <w:p w14:paraId="1BA0001D" w14:textId="77777777" w:rsidR="00C23733" w:rsidRDefault="00C23733" w:rsidP="009540FD"/>
          <w:p w14:paraId="5F48B7F8" w14:textId="108A104C" w:rsidR="009540FD" w:rsidRDefault="009540FD" w:rsidP="009540FD">
            <w:r>
              <w:t>Der Kündigungsgrund muss aber in aller Regel nicht im Kündigungsschreiben genannt werden.</w:t>
            </w:r>
          </w:p>
          <w:p w14:paraId="43D3EE20" w14:textId="77777777" w:rsidR="009540FD" w:rsidRDefault="009540FD" w:rsidP="00034137">
            <w:pPr>
              <w:ind w:firstLine="0"/>
            </w:pPr>
          </w:p>
        </w:tc>
      </w:tr>
      <w:tr w:rsidR="009540FD" w14:paraId="11EFBE83" w14:textId="77777777" w:rsidTr="008676B6">
        <w:tc>
          <w:tcPr>
            <w:tcW w:w="3256" w:type="dxa"/>
          </w:tcPr>
          <w:p w14:paraId="6247F192" w14:textId="77777777" w:rsidR="009540FD" w:rsidRPr="00B648F5" w:rsidRDefault="009540FD" w:rsidP="009540FD">
            <w:pPr>
              <w:rPr>
                <w:b/>
                <w:bCs/>
              </w:rPr>
            </w:pPr>
            <w:r w:rsidRPr="00B648F5">
              <w:rPr>
                <w:b/>
                <w:bCs/>
              </w:rPr>
              <w:lastRenderedPageBreak/>
              <w:t>Rechtsschutzversicherung</w:t>
            </w:r>
          </w:p>
          <w:p w14:paraId="5772494D" w14:textId="77777777" w:rsidR="009540FD" w:rsidRDefault="009540FD" w:rsidP="00034137">
            <w:pPr>
              <w:ind w:firstLine="0"/>
            </w:pPr>
          </w:p>
        </w:tc>
        <w:tc>
          <w:tcPr>
            <w:tcW w:w="7200" w:type="dxa"/>
          </w:tcPr>
          <w:p w14:paraId="4B4462A1" w14:textId="77777777" w:rsidR="00C23733" w:rsidRPr="008676B6" w:rsidRDefault="009540FD" w:rsidP="009540FD">
            <w:pPr>
              <w:rPr>
                <w:b/>
                <w:bCs/>
                <w:i/>
                <w:iCs/>
              </w:rPr>
            </w:pPr>
            <w:r w:rsidRPr="008676B6">
              <w:rPr>
                <w:b/>
                <w:bCs/>
                <w:i/>
                <w:iCs/>
              </w:rPr>
              <w:t xml:space="preserve">Eine Rechtsschutzversicherung kann sehr nützlich sein. </w:t>
            </w:r>
          </w:p>
          <w:p w14:paraId="2772CEE8" w14:textId="77777777" w:rsidR="00C23733" w:rsidRDefault="00C23733" w:rsidP="009540FD"/>
          <w:p w14:paraId="75B32CFB" w14:textId="4FB1A97E" w:rsidR="00C23733" w:rsidRDefault="009540FD" w:rsidP="009540FD">
            <w:r>
              <w:t xml:space="preserve">Das gilt gerade im Arbeitsrecht, wo die Anwaltskosten in der </w:t>
            </w:r>
            <w:r w:rsidR="009F03D6">
              <w:t>ersten</w:t>
            </w:r>
            <w:r>
              <w:t xml:space="preserve"> Instanz von jeder Partei selbst zu tragen sind. Das bedeutet, dass Sie im Falle eines Kündigungsrechtsstreits die Anwaltskosten im Grunde von einer erkämpften Abfindung abziehen müssen, um Ihren „Reingewinn“ auszurechnen. </w:t>
            </w:r>
          </w:p>
          <w:p w14:paraId="027259AF" w14:textId="77777777" w:rsidR="00C23733" w:rsidRDefault="00C23733" w:rsidP="009540FD"/>
          <w:p w14:paraId="016A6BA0" w14:textId="72DEB761" w:rsidR="009540FD" w:rsidRDefault="009540FD" w:rsidP="009540FD">
            <w:r>
              <w:t xml:space="preserve">Mit der Rechtsschutzversicherung </w:t>
            </w:r>
            <w:r w:rsidR="00C23733">
              <w:t>liegt man</w:t>
            </w:r>
            <w:r>
              <w:t xml:space="preserve"> hingegen vom ersten Euro an in der Gewinnzone. Ähnliches gilt bei Klagen auf rückständige Vergütung, die sich ohne Versicherung oft deutlich weniger lohnen.</w:t>
            </w:r>
          </w:p>
          <w:p w14:paraId="7F36AEE0" w14:textId="77777777" w:rsidR="00C23733" w:rsidRDefault="00C23733" w:rsidP="009540FD"/>
          <w:p w14:paraId="133AC499" w14:textId="77777777" w:rsidR="008676B6" w:rsidRDefault="009540FD" w:rsidP="009540FD">
            <w:r>
              <w:t>Aber Vorsicht ist geboten</w:t>
            </w:r>
            <w:r w:rsidR="008676B6">
              <w:t>!</w:t>
            </w:r>
            <w:r>
              <w:t xml:space="preserve"> Wer einen Versicherungsvertrag hat, hat noch lange nicht immer auch eine Deckung </w:t>
            </w:r>
            <w:r w:rsidR="009F03D6">
              <w:t xml:space="preserve">im </w:t>
            </w:r>
            <w:r>
              <w:t>konkreten Fall. Die Versicherung muss überzeugt werden, dass ein sogenannter Rechtsschutzfall vorliegt, d</w:t>
            </w:r>
            <w:r w:rsidR="009F03D6">
              <w:t>as heißt</w:t>
            </w:r>
            <w:r w:rsidR="008676B6">
              <w:t>, dass</w:t>
            </w:r>
            <w:r>
              <w:t xml:space="preserve"> eine Rechtsverletzung durch eine der Parteien in Rede steht. </w:t>
            </w:r>
          </w:p>
          <w:p w14:paraId="7C3C69E6" w14:textId="77777777" w:rsidR="008676B6" w:rsidRDefault="008676B6" w:rsidP="009540FD"/>
          <w:p w14:paraId="6AAF8E3F" w14:textId="5094EC5C" w:rsidR="009540FD" w:rsidRDefault="009540FD" w:rsidP="009540FD">
            <w:r>
              <w:t>Zudem darf es sich nicht um einen Fall handeln, der seinen Ursprung noch vor Vertragsabschluss oder Ablauf der Wartezeit hat.</w:t>
            </w:r>
          </w:p>
          <w:p w14:paraId="5672ECB5" w14:textId="77777777" w:rsidR="009540FD" w:rsidRDefault="009540FD" w:rsidP="00034137">
            <w:pPr>
              <w:ind w:firstLine="0"/>
            </w:pPr>
          </w:p>
        </w:tc>
      </w:tr>
    </w:tbl>
    <w:p w14:paraId="255FD9D1" w14:textId="77777777" w:rsidR="009540FD" w:rsidRDefault="009540FD" w:rsidP="00C23733">
      <w:pPr>
        <w:ind w:firstLine="0"/>
      </w:pPr>
    </w:p>
    <w:sectPr w:rsidR="00954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8907" w14:textId="77777777" w:rsidR="001F6832" w:rsidRDefault="001F6832">
      <w:pPr>
        <w:spacing w:after="0" w:line="240" w:lineRule="auto"/>
      </w:pPr>
      <w:r>
        <w:separator/>
      </w:r>
    </w:p>
  </w:endnote>
  <w:endnote w:type="continuationSeparator" w:id="0">
    <w:p w14:paraId="6F0B8C72" w14:textId="77777777" w:rsidR="001F6832" w:rsidRDefault="001F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C9D8" w14:textId="77777777" w:rsidR="00C23733" w:rsidRDefault="00C237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A8CB" w14:textId="77777777" w:rsidR="00C23733" w:rsidRDefault="00C237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AECA" w14:textId="77777777" w:rsidR="00C23733" w:rsidRDefault="00C237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2004" w14:textId="77777777" w:rsidR="001F6832" w:rsidRDefault="001F6832">
      <w:pPr>
        <w:spacing w:after="0" w:line="240" w:lineRule="auto"/>
      </w:pPr>
      <w:r>
        <w:separator/>
      </w:r>
    </w:p>
  </w:footnote>
  <w:footnote w:type="continuationSeparator" w:id="0">
    <w:p w14:paraId="4B7A4FFC" w14:textId="77777777" w:rsidR="001F6832" w:rsidRDefault="001F6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98B8" w14:textId="77777777" w:rsidR="00C23733" w:rsidRDefault="00C237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8B97" w14:textId="77777777" w:rsidR="00C23733" w:rsidRDefault="00C237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1CD1" w14:textId="77777777" w:rsidR="00C23733" w:rsidRDefault="00C237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37"/>
    <w:rsid w:val="00034137"/>
    <w:rsid w:val="00046ACE"/>
    <w:rsid w:val="001B7F94"/>
    <w:rsid w:val="001F6832"/>
    <w:rsid w:val="003C1414"/>
    <w:rsid w:val="00586C49"/>
    <w:rsid w:val="005D71C0"/>
    <w:rsid w:val="008676B6"/>
    <w:rsid w:val="009037D1"/>
    <w:rsid w:val="009540FD"/>
    <w:rsid w:val="00957A5E"/>
    <w:rsid w:val="009F03D6"/>
    <w:rsid w:val="00A854D4"/>
    <w:rsid w:val="00AA5F03"/>
    <w:rsid w:val="00C0493B"/>
    <w:rsid w:val="00C23733"/>
    <w:rsid w:val="00DC1B8B"/>
    <w:rsid w:val="00F8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0A27"/>
  <w15:chartTrackingRefBased/>
  <w15:docId w15:val="{31AD5B27-C36D-427B-8CC7-D9492BBF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4137"/>
    <w:pPr>
      <w:ind w:hanging="1"/>
    </w:pPr>
    <w:rPr>
      <w:rFonts w:ascii="Calibri" w:eastAsia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3413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95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4D4"/>
    <w:pPr>
      <w:spacing w:after="0" w:line="240" w:lineRule="auto"/>
    </w:pPr>
    <w:rPr>
      <w:rFonts w:ascii="Calibri" w:eastAsia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tillmann</dc:creator>
  <cp:keywords/>
  <dc:description/>
  <cp:lastModifiedBy>Natalie Hölscher</cp:lastModifiedBy>
  <cp:revision>2</cp:revision>
  <dcterms:created xsi:type="dcterms:W3CDTF">2026-01-16T13:55:00Z</dcterms:created>
  <dcterms:modified xsi:type="dcterms:W3CDTF">2026-01-16T13:55:00Z</dcterms:modified>
</cp:coreProperties>
</file>