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94754" w14:textId="7E60DAD3" w:rsidR="0044034F" w:rsidRPr="00203E68" w:rsidRDefault="0044034F" w:rsidP="00203E68">
      <w:pPr>
        <w:rPr>
          <w:b/>
          <w:bCs/>
          <w:sz w:val="32"/>
          <w:szCs w:val="32"/>
          <w:lang w:eastAsia="de-DE"/>
        </w:rPr>
      </w:pPr>
      <w:r w:rsidRPr="00203E68">
        <w:rPr>
          <w:b/>
          <w:bCs/>
          <w:sz w:val="32"/>
          <w:szCs w:val="32"/>
          <w:lang w:eastAsia="de-DE"/>
        </w:rPr>
        <w:t xml:space="preserve">Übersicht: </w:t>
      </w:r>
      <w:r w:rsidR="00203E68" w:rsidRPr="00203E68">
        <w:rPr>
          <w:b/>
          <w:bCs/>
          <w:sz w:val="32"/>
          <w:szCs w:val="32"/>
        </w:rPr>
        <w:t>Vereinfachtes</w:t>
      </w:r>
      <w:r w:rsidRPr="00203E68">
        <w:rPr>
          <w:b/>
          <w:bCs/>
          <w:sz w:val="32"/>
          <w:szCs w:val="32"/>
        </w:rPr>
        <w:t xml:space="preserve"> Wahlverfahren im</w:t>
      </w:r>
      <w:r w:rsidRPr="00203E68">
        <w:rPr>
          <w:b/>
          <w:bCs/>
          <w:sz w:val="32"/>
          <w:szCs w:val="32"/>
        </w:rPr>
        <w:t xml:space="preserve"> </w:t>
      </w:r>
      <w:r w:rsidRPr="00203E68">
        <w:rPr>
          <w:b/>
          <w:bCs/>
          <w:sz w:val="32"/>
          <w:szCs w:val="32"/>
          <w:lang w:eastAsia="de-DE"/>
        </w:rPr>
        <w:t>Überblick</w:t>
      </w:r>
    </w:p>
    <w:p w14:paraId="777E79A3" w14:textId="77777777" w:rsidR="00203E68" w:rsidRPr="00203E68" w:rsidRDefault="00203E68" w:rsidP="00203E68">
      <w:pPr>
        <w:rPr>
          <w:lang w:eastAsia="de-DE"/>
        </w:rPr>
      </w:pPr>
    </w:p>
    <w:tbl>
      <w:tblPr>
        <w:tblW w:w="8931" w:type="dxa"/>
        <w:tblInd w:w="-60"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6096"/>
        <w:gridCol w:w="2835"/>
      </w:tblGrid>
      <w:tr w:rsidR="00203E68" w:rsidRPr="00203E68" w14:paraId="16B9B9A5" w14:textId="77777777" w:rsidTr="00203E68">
        <w:tblPrEx>
          <w:tblCellMar>
            <w:top w:w="0" w:type="dxa"/>
            <w:bottom w:w="0" w:type="dxa"/>
          </w:tblCellMar>
        </w:tblPrEx>
        <w:tc>
          <w:tcPr>
            <w:tcW w:w="6096" w:type="dxa"/>
            <w:tcBorders>
              <w:top w:val="none" w:sz="6" w:space="0" w:color="auto"/>
              <w:bottom w:val="none" w:sz="6" w:space="0" w:color="auto"/>
              <w:right w:val="none" w:sz="6" w:space="0" w:color="auto"/>
            </w:tcBorders>
            <w:tcMar>
              <w:top w:w="20" w:type="nil"/>
              <w:left w:w="20" w:type="nil"/>
              <w:bottom w:w="20" w:type="nil"/>
              <w:right w:w="20" w:type="nil"/>
            </w:tcMar>
          </w:tcPr>
          <w:p w14:paraId="618C55B8" w14:textId="77777777" w:rsidR="00203E68" w:rsidRPr="00203E68" w:rsidRDefault="00203E68" w:rsidP="00203E68">
            <w:pPr>
              <w:jc w:val="center"/>
              <w:rPr>
                <w:b/>
                <w:bCs/>
              </w:rPr>
            </w:pPr>
            <w:r w:rsidRPr="00203E68">
              <w:rPr>
                <w:b/>
                <w:bCs/>
              </w:rPr>
              <w:t>Was?</w:t>
            </w:r>
          </w:p>
        </w:tc>
        <w:tc>
          <w:tcPr>
            <w:tcW w:w="2835" w:type="dxa"/>
            <w:tcBorders>
              <w:top w:val="none" w:sz="6" w:space="0" w:color="auto"/>
              <w:left w:val="none" w:sz="6" w:space="0" w:color="auto"/>
              <w:bottom w:val="none" w:sz="6" w:space="0" w:color="auto"/>
            </w:tcBorders>
            <w:tcMar>
              <w:top w:w="20" w:type="nil"/>
              <w:left w:w="20" w:type="nil"/>
              <w:bottom w:w="20" w:type="nil"/>
              <w:right w:w="20" w:type="nil"/>
            </w:tcMar>
          </w:tcPr>
          <w:p w14:paraId="5FC153D3" w14:textId="77777777" w:rsidR="00203E68" w:rsidRPr="00203E68" w:rsidRDefault="00203E68" w:rsidP="00203E68">
            <w:pPr>
              <w:jc w:val="center"/>
              <w:rPr>
                <w:b/>
                <w:bCs/>
              </w:rPr>
            </w:pPr>
            <w:r w:rsidRPr="00203E68">
              <w:rPr>
                <w:b/>
                <w:bCs/>
              </w:rPr>
              <w:t>Zu erledigen</w:t>
            </w:r>
          </w:p>
        </w:tc>
      </w:tr>
      <w:tr w:rsidR="00203E68" w:rsidRPr="00203E68" w14:paraId="284B1FD4" w14:textId="77777777" w:rsidTr="00203E68">
        <w:tblPrEx>
          <w:tblBorders>
            <w:top w:val="none" w:sz="0" w:space="0" w:color="auto"/>
          </w:tblBorders>
          <w:tblCellMar>
            <w:top w:w="0" w:type="dxa"/>
            <w:bottom w:w="0" w:type="dxa"/>
          </w:tblCellMar>
        </w:tblPrEx>
        <w:tc>
          <w:tcPr>
            <w:tcW w:w="6096" w:type="dxa"/>
            <w:tcBorders>
              <w:top w:val="none" w:sz="6" w:space="0" w:color="auto"/>
              <w:bottom w:val="none" w:sz="6" w:space="0" w:color="auto"/>
              <w:right w:val="none" w:sz="6" w:space="0" w:color="auto"/>
            </w:tcBorders>
            <w:tcMar>
              <w:top w:w="20" w:type="nil"/>
              <w:left w:w="20" w:type="nil"/>
              <w:bottom w:w="20" w:type="nil"/>
              <w:right w:w="20" w:type="nil"/>
            </w:tcMar>
          </w:tcPr>
          <w:p w14:paraId="6E13A94F" w14:textId="77777777" w:rsidR="00203E68" w:rsidRPr="00203E68" w:rsidRDefault="00203E68" w:rsidP="00203E68">
            <w:r w:rsidRPr="00203E68">
              <w:t>1. Schritt: Spätestens drei Wochen vor Ablauf ihrer Amtszeit lädt die SBV die Wahlberechtigten durch Aushang oder in sonst geeigneter Weise zur Wahlversammlung ein. Ist in dem Betrieb oder der Dienststelle eine SBV nicht vorhanden, können drei Wahlberechtigte, der Betriebs- oder Personalrat oder das Integrationsamt / Inklusionsamt zur Wahlversammlung einladen.</w:t>
            </w:r>
          </w:p>
        </w:tc>
        <w:tc>
          <w:tcPr>
            <w:tcW w:w="2835" w:type="dxa"/>
            <w:tcBorders>
              <w:top w:val="none" w:sz="6" w:space="0" w:color="auto"/>
              <w:left w:val="none" w:sz="6" w:space="0" w:color="auto"/>
              <w:bottom w:val="none" w:sz="6" w:space="0" w:color="auto"/>
            </w:tcBorders>
            <w:tcMar>
              <w:top w:w="20" w:type="nil"/>
              <w:left w:w="20" w:type="nil"/>
              <w:bottom w:w="20" w:type="nil"/>
              <w:right w:w="20" w:type="nil"/>
            </w:tcMar>
          </w:tcPr>
          <w:p w14:paraId="035328A6" w14:textId="77777777" w:rsidR="00203E68" w:rsidRPr="00203E68" w:rsidRDefault="00203E68" w:rsidP="00203E68">
            <w:r w:rsidRPr="00203E68">
              <w:t>bis spätestens eine Woche vor Ablauf der Amtszeit der bestehenden SBV</w:t>
            </w:r>
          </w:p>
        </w:tc>
      </w:tr>
      <w:tr w:rsidR="00203E68" w:rsidRPr="00203E68" w14:paraId="48BC69C1" w14:textId="77777777" w:rsidTr="00203E68">
        <w:tblPrEx>
          <w:tblBorders>
            <w:top w:val="none" w:sz="0" w:space="0" w:color="auto"/>
          </w:tblBorders>
          <w:tblCellMar>
            <w:top w:w="0" w:type="dxa"/>
            <w:bottom w:w="0" w:type="dxa"/>
          </w:tblCellMar>
        </w:tblPrEx>
        <w:tc>
          <w:tcPr>
            <w:tcW w:w="6096" w:type="dxa"/>
            <w:tcBorders>
              <w:top w:val="none" w:sz="6" w:space="0" w:color="auto"/>
              <w:bottom w:val="none" w:sz="6" w:space="0" w:color="auto"/>
              <w:right w:val="none" w:sz="6" w:space="0" w:color="auto"/>
            </w:tcBorders>
            <w:tcMar>
              <w:top w:w="20" w:type="nil"/>
              <w:left w:w="20" w:type="nil"/>
              <w:bottom w:w="20" w:type="nil"/>
              <w:right w:w="20" w:type="nil"/>
            </w:tcMar>
          </w:tcPr>
          <w:p w14:paraId="6510D258" w14:textId="77777777" w:rsidR="00203E68" w:rsidRPr="00203E68" w:rsidRDefault="00203E68" w:rsidP="00203E68">
            <w:r w:rsidRPr="00203E68">
              <w:t>2. Schritt: Die Wahlversammlung beschließt mit einfacher Stimmenmehrheit, wie viele stellvertretende Mitglieder zu wählen sind.</w:t>
            </w:r>
          </w:p>
        </w:tc>
        <w:tc>
          <w:tcPr>
            <w:tcW w:w="2835" w:type="dxa"/>
            <w:tcBorders>
              <w:top w:val="none" w:sz="6" w:space="0" w:color="auto"/>
              <w:left w:val="none" w:sz="6" w:space="0" w:color="auto"/>
              <w:bottom w:val="none" w:sz="6" w:space="0" w:color="auto"/>
            </w:tcBorders>
            <w:tcMar>
              <w:top w:w="20" w:type="nil"/>
              <w:left w:w="20" w:type="nil"/>
              <w:bottom w:w="20" w:type="nil"/>
              <w:right w:w="20" w:type="nil"/>
            </w:tcMar>
          </w:tcPr>
          <w:p w14:paraId="51627201" w14:textId="77777777" w:rsidR="00203E68" w:rsidRPr="00203E68" w:rsidRDefault="00203E68" w:rsidP="00203E68">
            <w:r w:rsidRPr="00203E68">
              <w:t>auf der Wahlversammlung</w:t>
            </w:r>
          </w:p>
        </w:tc>
      </w:tr>
      <w:tr w:rsidR="00203E68" w:rsidRPr="00203E68" w14:paraId="59E60D79" w14:textId="77777777" w:rsidTr="00203E68">
        <w:tblPrEx>
          <w:tblBorders>
            <w:top w:val="none" w:sz="0" w:space="0" w:color="auto"/>
          </w:tblBorders>
          <w:tblCellMar>
            <w:top w:w="0" w:type="dxa"/>
            <w:bottom w:w="0" w:type="dxa"/>
          </w:tblCellMar>
        </w:tblPrEx>
        <w:tc>
          <w:tcPr>
            <w:tcW w:w="6096" w:type="dxa"/>
            <w:tcBorders>
              <w:top w:val="none" w:sz="6" w:space="0" w:color="auto"/>
              <w:bottom w:val="none" w:sz="6" w:space="0" w:color="auto"/>
              <w:right w:val="none" w:sz="6" w:space="0" w:color="auto"/>
            </w:tcBorders>
            <w:tcMar>
              <w:top w:w="20" w:type="nil"/>
              <w:left w:w="20" w:type="nil"/>
              <w:bottom w:w="20" w:type="nil"/>
              <w:right w:w="20" w:type="nil"/>
            </w:tcMar>
          </w:tcPr>
          <w:p w14:paraId="7F31DF56" w14:textId="77777777" w:rsidR="00203E68" w:rsidRPr="00203E68" w:rsidRDefault="00203E68" w:rsidP="00203E68">
            <w:r w:rsidRPr="00203E68">
              <w:t>3. Schritt: Die SBV und ein oder mehrere stellvertretende Mitglieder werden in getrennten Wahlgängen gewählt. Mehrere stellvertretende Mitglieder werden in einem gemeinsamen Wahlgang gewählt.</w:t>
            </w:r>
          </w:p>
        </w:tc>
        <w:tc>
          <w:tcPr>
            <w:tcW w:w="2835" w:type="dxa"/>
            <w:tcBorders>
              <w:top w:val="none" w:sz="6" w:space="0" w:color="auto"/>
              <w:left w:val="none" w:sz="6" w:space="0" w:color="auto"/>
              <w:bottom w:val="none" w:sz="6" w:space="0" w:color="auto"/>
            </w:tcBorders>
            <w:tcMar>
              <w:top w:w="20" w:type="nil"/>
              <w:left w:w="20" w:type="nil"/>
              <w:bottom w:w="20" w:type="nil"/>
              <w:right w:w="20" w:type="nil"/>
            </w:tcMar>
          </w:tcPr>
          <w:p w14:paraId="3751D85C" w14:textId="77777777" w:rsidR="00203E68" w:rsidRPr="00203E68" w:rsidRDefault="00203E68" w:rsidP="00203E68">
            <w:r w:rsidRPr="00203E68">
              <w:t>auf der Wahlversammlung</w:t>
            </w:r>
          </w:p>
        </w:tc>
      </w:tr>
      <w:tr w:rsidR="00203E68" w:rsidRPr="00203E68" w14:paraId="1A57769A" w14:textId="77777777" w:rsidTr="00203E68">
        <w:tblPrEx>
          <w:tblBorders>
            <w:top w:val="none" w:sz="0" w:space="0" w:color="auto"/>
          </w:tblBorders>
          <w:tblCellMar>
            <w:top w:w="0" w:type="dxa"/>
            <w:bottom w:w="0" w:type="dxa"/>
          </w:tblCellMar>
        </w:tblPrEx>
        <w:tc>
          <w:tcPr>
            <w:tcW w:w="6096" w:type="dxa"/>
            <w:tcBorders>
              <w:top w:val="none" w:sz="6" w:space="0" w:color="auto"/>
              <w:bottom w:val="none" w:sz="6" w:space="0" w:color="auto"/>
              <w:right w:val="none" w:sz="6" w:space="0" w:color="auto"/>
            </w:tcBorders>
            <w:tcMar>
              <w:top w:w="20" w:type="nil"/>
              <w:left w:w="20" w:type="nil"/>
              <w:bottom w:w="20" w:type="nil"/>
              <w:right w:w="20" w:type="nil"/>
            </w:tcMar>
          </w:tcPr>
          <w:p w14:paraId="699FC2CE" w14:textId="77777777" w:rsidR="00203E68" w:rsidRPr="00203E68" w:rsidRDefault="00203E68" w:rsidP="00203E68">
            <w:r w:rsidRPr="00203E68">
              <w:t>4. Schritt: Das Wahlrecht wird durch Abgabe eines Stimmzettels in einem Wahlumschlag ausgeübt.</w:t>
            </w:r>
          </w:p>
        </w:tc>
        <w:tc>
          <w:tcPr>
            <w:tcW w:w="2835" w:type="dxa"/>
            <w:tcBorders>
              <w:top w:val="none" w:sz="6" w:space="0" w:color="auto"/>
              <w:left w:val="none" w:sz="6" w:space="0" w:color="auto"/>
              <w:bottom w:val="none" w:sz="6" w:space="0" w:color="auto"/>
            </w:tcBorders>
            <w:tcMar>
              <w:top w:w="20" w:type="nil"/>
              <w:left w:w="20" w:type="nil"/>
              <w:bottom w:w="20" w:type="nil"/>
              <w:right w:w="20" w:type="nil"/>
            </w:tcMar>
          </w:tcPr>
          <w:p w14:paraId="31014F99" w14:textId="77777777" w:rsidR="00203E68" w:rsidRPr="00203E68" w:rsidRDefault="00203E68" w:rsidP="00203E68">
            <w:r w:rsidRPr="00203E68">
              <w:t>auf der Wahlversammlung</w:t>
            </w:r>
          </w:p>
        </w:tc>
      </w:tr>
      <w:tr w:rsidR="00203E68" w:rsidRPr="00203E68" w14:paraId="0057055F" w14:textId="77777777" w:rsidTr="00203E68">
        <w:tblPrEx>
          <w:tblBorders>
            <w:top w:val="none" w:sz="0" w:space="0" w:color="auto"/>
          </w:tblBorders>
          <w:tblCellMar>
            <w:top w:w="0" w:type="dxa"/>
            <w:bottom w:w="0" w:type="dxa"/>
          </w:tblCellMar>
        </w:tblPrEx>
        <w:tc>
          <w:tcPr>
            <w:tcW w:w="6096" w:type="dxa"/>
            <w:tcBorders>
              <w:top w:val="none" w:sz="6" w:space="0" w:color="auto"/>
              <w:bottom w:val="none" w:sz="6" w:space="0" w:color="auto"/>
              <w:right w:val="none" w:sz="6" w:space="0" w:color="auto"/>
            </w:tcBorders>
            <w:tcMar>
              <w:top w:w="20" w:type="nil"/>
              <w:left w:w="20" w:type="nil"/>
              <w:bottom w:w="20" w:type="nil"/>
              <w:right w:w="20" w:type="nil"/>
            </w:tcMar>
          </w:tcPr>
          <w:p w14:paraId="286DB981" w14:textId="77777777" w:rsidR="00203E68" w:rsidRPr="00203E68" w:rsidRDefault="00203E68" w:rsidP="00203E68">
            <w:r w:rsidRPr="00203E68">
              <w:t>5. Schritt: Die Wählerin oder der Wähler übergibt den Wahlumschlag, in den der Stimmzettel eingelegt ist, der Wahlleitung. Diese legt den Wahlumschlag in Gegenwart der Wählerin oder des Wählers ungeöffnet in einen dafür bestimmten Behälter und hält den Namen der Wählerin oder des Wählers in einer Liste fest.</w:t>
            </w:r>
          </w:p>
        </w:tc>
        <w:tc>
          <w:tcPr>
            <w:tcW w:w="2835" w:type="dxa"/>
            <w:tcBorders>
              <w:top w:val="none" w:sz="6" w:space="0" w:color="auto"/>
              <w:left w:val="none" w:sz="6" w:space="0" w:color="auto"/>
              <w:bottom w:val="none" w:sz="6" w:space="0" w:color="auto"/>
            </w:tcBorders>
            <w:tcMar>
              <w:top w:w="20" w:type="nil"/>
              <w:left w:w="20" w:type="nil"/>
              <w:bottom w:w="20" w:type="nil"/>
              <w:right w:w="20" w:type="nil"/>
            </w:tcMar>
          </w:tcPr>
          <w:p w14:paraId="14724F40" w14:textId="77777777" w:rsidR="00203E68" w:rsidRPr="00203E68" w:rsidRDefault="00203E68" w:rsidP="00203E68">
            <w:r w:rsidRPr="00203E68">
              <w:t>nach Ausübung des Wahlrechts</w:t>
            </w:r>
          </w:p>
        </w:tc>
      </w:tr>
      <w:tr w:rsidR="00203E68" w:rsidRPr="00203E68" w14:paraId="76CF834C" w14:textId="77777777" w:rsidTr="00203E68">
        <w:tblPrEx>
          <w:tblBorders>
            <w:top w:val="none" w:sz="0" w:space="0" w:color="auto"/>
          </w:tblBorders>
          <w:tblCellMar>
            <w:top w:w="0" w:type="dxa"/>
            <w:bottom w:w="0" w:type="dxa"/>
          </w:tblCellMar>
        </w:tblPrEx>
        <w:tc>
          <w:tcPr>
            <w:tcW w:w="6096" w:type="dxa"/>
            <w:tcBorders>
              <w:top w:val="none" w:sz="6" w:space="0" w:color="auto"/>
              <w:bottom w:val="none" w:sz="6" w:space="0" w:color="auto"/>
              <w:right w:val="none" w:sz="6" w:space="0" w:color="auto"/>
            </w:tcBorders>
            <w:tcMar>
              <w:top w:w="20" w:type="nil"/>
              <w:left w:w="20" w:type="nil"/>
              <w:bottom w:w="20" w:type="nil"/>
              <w:right w:w="20" w:type="nil"/>
            </w:tcMar>
          </w:tcPr>
          <w:p w14:paraId="2575CD0E" w14:textId="77777777" w:rsidR="00203E68" w:rsidRPr="00203E68" w:rsidRDefault="00203E68" w:rsidP="00203E68">
            <w:r w:rsidRPr="00203E68">
              <w:t xml:space="preserve">6. Schritt: Unverzüglich nach </w:t>
            </w:r>
            <w:proofErr w:type="spellStart"/>
            <w:r w:rsidRPr="00203E68">
              <w:t>Abschluss</w:t>
            </w:r>
            <w:proofErr w:type="spellEnd"/>
            <w:r w:rsidRPr="00203E68">
              <w:t xml:space="preserve"> der Wahl nimmt der Wahlvorstand öffentlich die Auszählung der Stimmen vor und stellt das Ergebnis fest.</w:t>
            </w:r>
          </w:p>
        </w:tc>
        <w:tc>
          <w:tcPr>
            <w:tcW w:w="2835" w:type="dxa"/>
            <w:tcBorders>
              <w:top w:val="none" w:sz="6" w:space="0" w:color="auto"/>
              <w:left w:val="none" w:sz="6" w:space="0" w:color="auto"/>
              <w:bottom w:val="none" w:sz="6" w:space="0" w:color="auto"/>
            </w:tcBorders>
            <w:tcMar>
              <w:top w:w="20" w:type="nil"/>
              <w:left w:w="20" w:type="nil"/>
              <w:bottom w:w="20" w:type="nil"/>
              <w:right w:w="20" w:type="nil"/>
            </w:tcMar>
          </w:tcPr>
          <w:p w14:paraId="334846C3" w14:textId="77777777" w:rsidR="00203E68" w:rsidRPr="00203E68" w:rsidRDefault="00203E68" w:rsidP="00203E68">
            <w:r w:rsidRPr="00203E68">
              <w:t xml:space="preserve">unverzüglich nach </w:t>
            </w:r>
            <w:proofErr w:type="spellStart"/>
            <w:r w:rsidRPr="00203E68">
              <w:t>Abschluss</w:t>
            </w:r>
            <w:proofErr w:type="spellEnd"/>
            <w:r w:rsidRPr="00203E68">
              <w:t xml:space="preserve"> der Wahl</w:t>
            </w:r>
          </w:p>
        </w:tc>
      </w:tr>
      <w:tr w:rsidR="00203E68" w:rsidRPr="00203E68" w14:paraId="6F9E85F7" w14:textId="77777777" w:rsidTr="00203E68">
        <w:tblPrEx>
          <w:tblBorders>
            <w:top w:val="none" w:sz="0" w:space="0" w:color="auto"/>
          </w:tblBorders>
          <w:tblCellMar>
            <w:top w:w="0" w:type="dxa"/>
            <w:bottom w:w="0" w:type="dxa"/>
          </w:tblCellMar>
        </w:tblPrEx>
        <w:tc>
          <w:tcPr>
            <w:tcW w:w="6096" w:type="dxa"/>
            <w:tcBorders>
              <w:top w:val="none" w:sz="6" w:space="0" w:color="auto"/>
              <w:bottom w:val="none" w:sz="6" w:space="0" w:color="auto"/>
              <w:right w:val="none" w:sz="6" w:space="0" w:color="auto"/>
            </w:tcBorders>
            <w:tcMar>
              <w:top w:w="20" w:type="nil"/>
              <w:left w:w="20" w:type="nil"/>
              <w:bottom w:w="20" w:type="nil"/>
              <w:right w:w="20" w:type="nil"/>
            </w:tcMar>
          </w:tcPr>
          <w:p w14:paraId="11ED005C" w14:textId="77777777" w:rsidR="00203E68" w:rsidRPr="00203E68" w:rsidRDefault="00203E68" w:rsidP="00203E68">
            <w:r w:rsidRPr="00203E68">
              <w:t>7. Schritt: Gewählt für das Amt der SBV oder als stellvertretendes Mitglied ist der Bewerber oder die Bewerberin, der oder die jeweils die meisten Stimmen erhalten hat. Bei Stimmengleichheit entscheidet das Los.</w:t>
            </w:r>
          </w:p>
        </w:tc>
        <w:tc>
          <w:tcPr>
            <w:tcW w:w="2835" w:type="dxa"/>
            <w:tcBorders>
              <w:top w:val="none" w:sz="6" w:space="0" w:color="auto"/>
              <w:left w:val="none" w:sz="6" w:space="0" w:color="auto"/>
              <w:bottom w:val="none" w:sz="6" w:space="0" w:color="auto"/>
            </w:tcBorders>
            <w:tcMar>
              <w:top w:w="20" w:type="nil"/>
              <w:left w:w="20" w:type="nil"/>
              <w:bottom w:w="20" w:type="nil"/>
              <w:right w:w="20" w:type="nil"/>
            </w:tcMar>
          </w:tcPr>
          <w:p w14:paraId="4C3385BD" w14:textId="77777777" w:rsidR="00203E68" w:rsidRPr="00203E68" w:rsidRDefault="00203E68" w:rsidP="00203E68">
            <w:r w:rsidRPr="00203E68">
              <w:t>nach der Feststellung des Wahlergebnisses</w:t>
            </w:r>
          </w:p>
        </w:tc>
      </w:tr>
      <w:tr w:rsidR="00203E68" w:rsidRPr="00203E68" w14:paraId="3B83F5E2" w14:textId="77777777" w:rsidTr="00203E68">
        <w:tblPrEx>
          <w:tblBorders>
            <w:top w:val="none" w:sz="0" w:space="0" w:color="auto"/>
          </w:tblBorders>
          <w:tblCellMar>
            <w:top w:w="0" w:type="dxa"/>
            <w:bottom w:w="0" w:type="dxa"/>
          </w:tblCellMar>
        </w:tblPrEx>
        <w:tc>
          <w:tcPr>
            <w:tcW w:w="6096" w:type="dxa"/>
            <w:tcBorders>
              <w:top w:val="none" w:sz="6" w:space="0" w:color="auto"/>
              <w:bottom w:val="none" w:sz="6" w:space="0" w:color="auto"/>
              <w:right w:val="none" w:sz="6" w:space="0" w:color="auto"/>
            </w:tcBorders>
            <w:tcMar>
              <w:top w:w="20" w:type="nil"/>
              <w:left w:w="20" w:type="nil"/>
              <w:bottom w:w="20" w:type="nil"/>
              <w:right w:w="20" w:type="nil"/>
            </w:tcMar>
          </w:tcPr>
          <w:p w14:paraId="2F863A8F" w14:textId="77777777" w:rsidR="00203E68" w:rsidRPr="00203E68" w:rsidRDefault="00203E68" w:rsidP="00203E68">
            <w:r w:rsidRPr="00203E68">
              <w:t>8. Schritt: Der Wahlvorstand fertigt eine Niederschrift des Wahlergebnisses an, die von dem oder der Vorsitzenden sowie mindestens einem weiteren Mitglied des Wahlvorstands unterschrieben wird.</w:t>
            </w:r>
          </w:p>
        </w:tc>
        <w:tc>
          <w:tcPr>
            <w:tcW w:w="2835" w:type="dxa"/>
            <w:tcBorders>
              <w:top w:val="none" w:sz="6" w:space="0" w:color="auto"/>
              <w:left w:val="none" w:sz="6" w:space="0" w:color="auto"/>
              <w:bottom w:val="none" w:sz="6" w:space="0" w:color="auto"/>
            </w:tcBorders>
            <w:tcMar>
              <w:top w:w="20" w:type="nil"/>
              <w:left w:w="20" w:type="nil"/>
              <w:bottom w:w="20" w:type="nil"/>
              <w:right w:w="20" w:type="nil"/>
            </w:tcMar>
          </w:tcPr>
          <w:p w14:paraId="4B815418" w14:textId="77777777" w:rsidR="00203E68" w:rsidRPr="00203E68" w:rsidRDefault="00203E68" w:rsidP="00203E68">
            <w:r w:rsidRPr="00203E68">
              <w:t>unverzüglich nach der Stimmauszählung</w:t>
            </w:r>
          </w:p>
        </w:tc>
      </w:tr>
      <w:tr w:rsidR="00203E68" w:rsidRPr="00203E68" w14:paraId="668EF291" w14:textId="77777777" w:rsidTr="00203E68">
        <w:tblPrEx>
          <w:tblBorders>
            <w:top w:val="none" w:sz="0" w:space="0" w:color="auto"/>
          </w:tblBorders>
          <w:tblCellMar>
            <w:top w:w="0" w:type="dxa"/>
            <w:bottom w:w="0" w:type="dxa"/>
          </w:tblCellMar>
        </w:tblPrEx>
        <w:tc>
          <w:tcPr>
            <w:tcW w:w="6096" w:type="dxa"/>
            <w:tcBorders>
              <w:top w:val="none" w:sz="6" w:space="0" w:color="auto"/>
              <w:bottom w:val="none" w:sz="6" w:space="0" w:color="auto"/>
              <w:right w:val="none" w:sz="6" w:space="0" w:color="auto"/>
            </w:tcBorders>
            <w:tcMar>
              <w:top w:w="20" w:type="nil"/>
              <w:left w:w="20" w:type="nil"/>
              <w:bottom w:w="20" w:type="nil"/>
              <w:right w:w="20" w:type="nil"/>
            </w:tcMar>
          </w:tcPr>
          <w:p w14:paraId="507CBEC9" w14:textId="77777777" w:rsidR="00203E68" w:rsidRPr="00203E68" w:rsidRDefault="00203E68" w:rsidP="00203E68">
            <w:r w:rsidRPr="00203E68">
              <w:t>9. Schritt: Der Wahlvorstand benachrichtigt die Gewählten unverzüglich schriftlich gegen Empfangsbestätigung von ihrer Wahl.</w:t>
            </w:r>
          </w:p>
        </w:tc>
        <w:tc>
          <w:tcPr>
            <w:tcW w:w="2835" w:type="dxa"/>
            <w:tcBorders>
              <w:top w:val="none" w:sz="6" w:space="0" w:color="auto"/>
              <w:left w:val="none" w:sz="6" w:space="0" w:color="auto"/>
              <w:bottom w:val="none" w:sz="6" w:space="0" w:color="auto"/>
            </w:tcBorders>
            <w:tcMar>
              <w:top w:w="20" w:type="nil"/>
              <w:left w:w="20" w:type="nil"/>
              <w:bottom w:w="20" w:type="nil"/>
              <w:right w:w="20" w:type="nil"/>
            </w:tcMar>
          </w:tcPr>
          <w:p w14:paraId="5CAFFD22" w14:textId="77777777" w:rsidR="00203E68" w:rsidRPr="00203E68" w:rsidRDefault="00203E68" w:rsidP="00203E68">
            <w:r w:rsidRPr="00203E68">
              <w:t>unverzüglich, nachdem die Gewählten feststehen</w:t>
            </w:r>
          </w:p>
        </w:tc>
      </w:tr>
      <w:tr w:rsidR="00203E68" w:rsidRPr="00203E68" w14:paraId="6C9A8AD1" w14:textId="77777777" w:rsidTr="00203E68">
        <w:tblPrEx>
          <w:tblBorders>
            <w:top w:val="none" w:sz="0" w:space="0" w:color="auto"/>
          </w:tblBorders>
          <w:tblCellMar>
            <w:top w:w="0" w:type="dxa"/>
            <w:bottom w:w="0" w:type="dxa"/>
          </w:tblCellMar>
        </w:tblPrEx>
        <w:tc>
          <w:tcPr>
            <w:tcW w:w="6096" w:type="dxa"/>
            <w:tcBorders>
              <w:top w:val="none" w:sz="6" w:space="0" w:color="auto"/>
              <w:bottom w:val="none" w:sz="6" w:space="0" w:color="auto"/>
              <w:right w:val="none" w:sz="6" w:space="0" w:color="auto"/>
            </w:tcBorders>
            <w:tcMar>
              <w:top w:w="20" w:type="nil"/>
              <w:left w:w="20" w:type="nil"/>
              <w:bottom w:w="20" w:type="nil"/>
              <w:right w:w="20" w:type="nil"/>
            </w:tcMar>
          </w:tcPr>
          <w:p w14:paraId="14FC9020" w14:textId="77777777" w:rsidR="00203E68" w:rsidRPr="00203E68" w:rsidRDefault="00203E68" w:rsidP="00203E68">
            <w:r w:rsidRPr="00203E68">
              <w:t>10. Schritt: Erklärt eine gewählte Person nicht innerhalb von drei Arbeitstagen nach Zugang der Benachrichtigung dem Wahlvorstand ihre Ablehnung der Wahl, gilt diese als angenommen.</w:t>
            </w:r>
          </w:p>
        </w:tc>
        <w:tc>
          <w:tcPr>
            <w:tcW w:w="2835" w:type="dxa"/>
            <w:tcBorders>
              <w:top w:val="none" w:sz="6" w:space="0" w:color="auto"/>
              <w:left w:val="none" w:sz="6" w:space="0" w:color="auto"/>
              <w:bottom w:val="none" w:sz="6" w:space="0" w:color="auto"/>
            </w:tcBorders>
            <w:tcMar>
              <w:top w:w="20" w:type="nil"/>
              <w:left w:w="20" w:type="nil"/>
              <w:bottom w:w="20" w:type="nil"/>
              <w:right w:w="20" w:type="nil"/>
            </w:tcMar>
          </w:tcPr>
          <w:p w14:paraId="3831E13C" w14:textId="77777777" w:rsidR="00203E68" w:rsidRPr="00203E68" w:rsidRDefault="00203E68" w:rsidP="00203E68">
            <w:r w:rsidRPr="00203E68">
              <w:t>innerhalb von drei Arbeitstagen nach Zugang der Benachrichtigung durch den Wahlvorstand</w:t>
            </w:r>
          </w:p>
        </w:tc>
      </w:tr>
      <w:tr w:rsidR="00203E68" w:rsidRPr="00203E68" w14:paraId="2FA0502B" w14:textId="77777777" w:rsidTr="00203E68">
        <w:tblPrEx>
          <w:tblBorders>
            <w:top w:val="none" w:sz="0" w:space="0" w:color="auto"/>
          </w:tblBorders>
          <w:tblCellMar>
            <w:top w:w="0" w:type="dxa"/>
            <w:bottom w:w="0" w:type="dxa"/>
          </w:tblCellMar>
        </w:tblPrEx>
        <w:tc>
          <w:tcPr>
            <w:tcW w:w="6096" w:type="dxa"/>
            <w:tcBorders>
              <w:top w:val="none" w:sz="6" w:space="0" w:color="auto"/>
              <w:bottom w:val="none" w:sz="6" w:space="0" w:color="auto"/>
              <w:right w:val="none" w:sz="6" w:space="0" w:color="auto"/>
            </w:tcBorders>
            <w:tcMar>
              <w:top w:w="20" w:type="nil"/>
              <w:left w:w="20" w:type="nil"/>
              <w:bottom w:w="20" w:type="nil"/>
              <w:right w:w="20" w:type="nil"/>
            </w:tcMar>
          </w:tcPr>
          <w:p w14:paraId="7FCC73D3" w14:textId="77777777" w:rsidR="00203E68" w:rsidRPr="00203E68" w:rsidRDefault="00203E68" w:rsidP="00203E68">
            <w:r w:rsidRPr="00203E68">
              <w:lastRenderedPageBreak/>
              <w:t>11. Schritt: Wird eine Wahl abgelehnt, tritt an die Stelle der Person, die abgelehnt hat, der Bewerber oder die Bewerberin für das Amt der SBV oder als stellvertretendes Mitglied mit der nächsthöheren Stimmenzahl.</w:t>
            </w:r>
          </w:p>
        </w:tc>
        <w:tc>
          <w:tcPr>
            <w:tcW w:w="2835" w:type="dxa"/>
            <w:tcBorders>
              <w:top w:val="none" w:sz="6" w:space="0" w:color="auto"/>
              <w:left w:val="none" w:sz="6" w:space="0" w:color="auto"/>
              <w:bottom w:val="none" w:sz="6" w:space="0" w:color="auto"/>
            </w:tcBorders>
            <w:tcMar>
              <w:top w:w="20" w:type="nil"/>
              <w:left w:w="20" w:type="nil"/>
              <w:bottom w:w="20" w:type="nil"/>
              <w:right w:w="20" w:type="nil"/>
            </w:tcMar>
          </w:tcPr>
          <w:p w14:paraId="61846840" w14:textId="77777777" w:rsidR="00203E68" w:rsidRPr="00203E68" w:rsidRDefault="00203E68" w:rsidP="00203E68">
            <w:r w:rsidRPr="00203E68">
              <w:t>unmittelbar nach Ablehnung der Wahl</w:t>
            </w:r>
          </w:p>
        </w:tc>
      </w:tr>
      <w:tr w:rsidR="00203E68" w:rsidRPr="00203E68" w14:paraId="0AADCF81" w14:textId="77777777" w:rsidTr="00203E68">
        <w:tblPrEx>
          <w:tblBorders>
            <w:top w:val="none" w:sz="0" w:space="0" w:color="auto"/>
          </w:tblBorders>
          <w:tblCellMar>
            <w:top w:w="0" w:type="dxa"/>
            <w:bottom w:w="0" w:type="dxa"/>
          </w:tblCellMar>
        </w:tblPrEx>
        <w:tc>
          <w:tcPr>
            <w:tcW w:w="6096" w:type="dxa"/>
            <w:tcBorders>
              <w:top w:val="none" w:sz="6" w:space="0" w:color="auto"/>
              <w:bottom w:val="none" w:sz="6" w:space="0" w:color="auto"/>
              <w:right w:val="none" w:sz="6" w:space="0" w:color="auto"/>
            </w:tcBorders>
            <w:tcMar>
              <w:top w:w="20" w:type="nil"/>
              <w:left w:w="20" w:type="nil"/>
              <w:bottom w:w="20" w:type="nil"/>
              <w:right w:w="20" w:type="nil"/>
            </w:tcMar>
          </w:tcPr>
          <w:p w14:paraId="34305132" w14:textId="77777777" w:rsidR="00203E68" w:rsidRPr="00203E68" w:rsidRDefault="00203E68" w:rsidP="00203E68">
            <w:r w:rsidRPr="00203E68">
              <w:t>12. Schritt: Sobald die Namen der Personen, die das Amt der SBV oder des stellvertretenden Mitglieds innehaben, endgültig feststehen, hat der Wahlvorstand sie durch zweiwöchigen Aushang in gleicher Weise wie das Wahlausschreiben bekannt zu machen sowie unverzüglich dem/der Arbeitgebenden und dem Betriebs- oder Personalrat mitzuteilen.</w:t>
            </w:r>
          </w:p>
        </w:tc>
        <w:tc>
          <w:tcPr>
            <w:tcW w:w="2835" w:type="dxa"/>
            <w:tcBorders>
              <w:top w:val="none" w:sz="6" w:space="0" w:color="auto"/>
              <w:left w:val="none" w:sz="6" w:space="0" w:color="auto"/>
              <w:bottom w:val="none" w:sz="6" w:space="0" w:color="auto"/>
            </w:tcBorders>
            <w:tcMar>
              <w:top w:w="20" w:type="nil"/>
              <w:left w:w="20" w:type="nil"/>
              <w:bottom w:w="20" w:type="nil"/>
              <w:right w:w="20" w:type="nil"/>
            </w:tcMar>
          </w:tcPr>
          <w:p w14:paraId="3CA7C142" w14:textId="77777777" w:rsidR="00203E68" w:rsidRPr="00203E68" w:rsidRDefault="00203E68" w:rsidP="00203E68">
            <w:r w:rsidRPr="00203E68">
              <w:t>unverzüglich, nachdem die Gewählten feststehen</w:t>
            </w:r>
          </w:p>
        </w:tc>
      </w:tr>
      <w:tr w:rsidR="00203E68" w:rsidRPr="00203E68" w14:paraId="12C57B11" w14:textId="77777777" w:rsidTr="00203E68">
        <w:tblPrEx>
          <w:tblCellMar>
            <w:top w:w="0" w:type="dxa"/>
            <w:bottom w:w="0" w:type="dxa"/>
          </w:tblCellMar>
        </w:tblPrEx>
        <w:tc>
          <w:tcPr>
            <w:tcW w:w="6096" w:type="dxa"/>
            <w:tcBorders>
              <w:top w:val="none" w:sz="6" w:space="0" w:color="auto"/>
              <w:bottom w:val="none" w:sz="6" w:space="0" w:color="auto"/>
              <w:right w:val="none" w:sz="6" w:space="0" w:color="auto"/>
            </w:tcBorders>
            <w:tcMar>
              <w:top w:w="20" w:type="nil"/>
              <w:left w:w="20" w:type="nil"/>
              <w:bottom w:w="20" w:type="nil"/>
              <w:right w:w="20" w:type="nil"/>
            </w:tcMar>
          </w:tcPr>
          <w:p w14:paraId="48FE4920" w14:textId="77777777" w:rsidR="00203E68" w:rsidRPr="00203E68" w:rsidRDefault="00203E68" w:rsidP="00203E68">
            <w:r w:rsidRPr="00203E68">
              <w:t>13. Schritt: Die Wahlunterlagen, insbesondere die Niederschriften, Bekanntmachungen und Stimmzettel, werden von der SBV mindestens bis zur Beendigung der Wahlperiode aufbewahrt.</w:t>
            </w:r>
          </w:p>
        </w:tc>
        <w:tc>
          <w:tcPr>
            <w:tcW w:w="2835" w:type="dxa"/>
            <w:tcBorders>
              <w:top w:val="none" w:sz="6" w:space="0" w:color="auto"/>
              <w:left w:val="none" w:sz="6" w:space="0" w:color="auto"/>
              <w:bottom w:val="none" w:sz="6" w:space="0" w:color="auto"/>
            </w:tcBorders>
            <w:tcMar>
              <w:top w:w="20" w:type="nil"/>
              <w:left w:w="20" w:type="nil"/>
              <w:bottom w:w="20" w:type="nil"/>
              <w:right w:w="20" w:type="nil"/>
            </w:tcMar>
          </w:tcPr>
          <w:p w14:paraId="5E48327B" w14:textId="77777777" w:rsidR="00203E68" w:rsidRPr="00203E68" w:rsidRDefault="00203E68" w:rsidP="00203E68">
            <w:r w:rsidRPr="00203E68">
              <w:t>nach Beendigung der Wahl</w:t>
            </w:r>
          </w:p>
        </w:tc>
      </w:tr>
    </w:tbl>
    <w:p w14:paraId="7DE75BA7" w14:textId="77777777" w:rsidR="00203E68" w:rsidRPr="00203E68" w:rsidRDefault="00203E68" w:rsidP="00203E68"/>
    <w:sectPr w:rsidR="00203E68" w:rsidRPr="00203E6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Zapf Dingbats">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C7E"/>
    <w:multiLevelType w:val="hybridMultilevel"/>
    <w:tmpl w:val="9EBAC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B43DEC"/>
    <w:multiLevelType w:val="hybridMultilevel"/>
    <w:tmpl w:val="80ACC3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2D842F3"/>
    <w:multiLevelType w:val="hybridMultilevel"/>
    <w:tmpl w:val="39D400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404CD3"/>
    <w:multiLevelType w:val="hybridMultilevel"/>
    <w:tmpl w:val="185AAD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582284"/>
    <w:multiLevelType w:val="hybridMultilevel"/>
    <w:tmpl w:val="C4FC7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E00861"/>
    <w:multiLevelType w:val="hybridMultilevel"/>
    <w:tmpl w:val="ABA214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2FB674C"/>
    <w:multiLevelType w:val="hybridMultilevel"/>
    <w:tmpl w:val="3B6AC4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10060147">
    <w:abstractNumId w:val="1"/>
  </w:num>
  <w:num w:numId="2" w16cid:durableId="685325100">
    <w:abstractNumId w:val="5"/>
  </w:num>
  <w:num w:numId="3" w16cid:durableId="265428861">
    <w:abstractNumId w:val="3"/>
  </w:num>
  <w:num w:numId="4" w16cid:durableId="1546987782">
    <w:abstractNumId w:val="6"/>
  </w:num>
  <w:num w:numId="5" w16cid:durableId="1971782710">
    <w:abstractNumId w:val="2"/>
  </w:num>
  <w:num w:numId="6" w16cid:durableId="2070348806">
    <w:abstractNumId w:val="0"/>
  </w:num>
  <w:num w:numId="7" w16cid:durableId="229778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7DF"/>
    <w:rsid w:val="000D129B"/>
    <w:rsid w:val="0011758A"/>
    <w:rsid w:val="00164A8D"/>
    <w:rsid w:val="001857D0"/>
    <w:rsid w:val="00190F7F"/>
    <w:rsid w:val="0019144B"/>
    <w:rsid w:val="00203E68"/>
    <w:rsid w:val="002B7BBE"/>
    <w:rsid w:val="0032644E"/>
    <w:rsid w:val="00374E82"/>
    <w:rsid w:val="003D6F6C"/>
    <w:rsid w:val="003F4550"/>
    <w:rsid w:val="0044034F"/>
    <w:rsid w:val="00484339"/>
    <w:rsid w:val="005257DF"/>
    <w:rsid w:val="00572DD9"/>
    <w:rsid w:val="00591167"/>
    <w:rsid w:val="005D0097"/>
    <w:rsid w:val="005E645B"/>
    <w:rsid w:val="0078069B"/>
    <w:rsid w:val="007C3C53"/>
    <w:rsid w:val="008E6E7E"/>
    <w:rsid w:val="009C3F35"/>
    <w:rsid w:val="00A21005"/>
    <w:rsid w:val="00A32A28"/>
    <w:rsid w:val="00A56160"/>
    <w:rsid w:val="00AA17D2"/>
    <w:rsid w:val="00B03A8A"/>
    <w:rsid w:val="00B12894"/>
    <w:rsid w:val="00B8407E"/>
    <w:rsid w:val="00B87A84"/>
    <w:rsid w:val="00C11E35"/>
    <w:rsid w:val="00C66FE0"/>
    <w:rsid w:val="00CF41FB"/>
    <w:rsid w:val="00D9088B"/>
    <w:rsid w:val="00DC404A"/>
    <w:rsid w:val="00E201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FDEA475"/>
  <w15:chartTrackingRefBased/>
  <w15:docId w15:val="{C2B28EB9-979C-DE4E-B8EB-3440C0C7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129B"/>
  </w:style>
  <w:style w:type="paragraph" w:styleId="berschrift1">
    <w:name w:val="heading 1"/>
    <w:basedOn w:val="Standard"/>
    <w:next w:val="Standard"/>
    <w:link w:val="berschrift1Zchn"/>
    <w:uiPriority w:val="9"/>
    <w:qFormat/>
    <w:rsid w:val="005257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5257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257D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257D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257D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5257D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257D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257D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257D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57D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5257D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257D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257D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257D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5257D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257D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257D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257DF"/>
    <w:rPr>
      <w:rFonts w:eastAsiaTheme="majorEastAsia" w:cstheme="majorBidi"/>
      <w:color w:val="272727" w:themeColor="text1" w:themeTint="D8"/>
    </w:rPr>
  </w:style>
  <w:style w:type="paragraph" w:styleId="Titel">
    <w:name w:val="Title"/>
    <w:basedOn w:val="Standard"/>
    <w:next w:val="Standard"/>
    <w:link w:val="TitelZchn"/>
    <w:uiPriority w:val="10"/>
    <w:qFormat/>
    <w:rsid w:val="005257D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257D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257D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257D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257D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257DF"/>
    <w:rPr>
      <w:i/>
      <w:iCs/>
      <w:color w:val="404040" w:themeColor="text1" w:themeTint="BF"/>
    </w:rPr>
  </w:style>
  <w:style w:type="paragraph" w:styleId="Listenabsatz">
    <w:name w:val="List Paragraph"/>
    <w:basedOn w:val="Standard"/>
    <w:uiPriority w:val="34"/>
    <w:qFormat/>
    <w:rsid w:val="005257DF"/>
    <w:pPr>
      <w:ind w:left="720"/>
      <w:contextualSpacing/>
    </w:pPr>
  </w:style>
  <w:style w:type="character" w:styleId="IntensiveHervorhebung">
    <w:name w:val="Intense Emphasis"/>
    <w:basedOn w:val="Absatz-Standardschriftart"/>
    <w:uiPriority w:val="21"/>
    <w:qFormat/>
    <w:rsid w:val="005257DF"/>
    <w:rPr>
      <w:i/>
      <w:iCs/>
      <w:color w:val="2F5496" w:themeColor="accent1" w:themeShade="BF"/>
    </w:rPr>
  </w:style>
  <w:style w:type="paragraph" w:styleId="IntensivesZitat">
    <w:name w:val="Intense Quote"/>
    <w:basedOn w:val="Standard"/>
    <w:next w:val="Standard"/>
    <w:link w:val="IntensivesZitatZchn"/>
    <w:uiPriority w:val="30"/>
    <w:qFormat/>
    <w:rsid w:val="005257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5257DF"/>
    <w:rPr>
      <w:i/>
      <w:iCs/>
      <w:color w:val="2F5496" w:themeColor="accent1" w:themeShade="BF"/>
    </w:rPr>
  </w:style>
  <w:style w:type="character" w:styleId="IntensiverVerweis">
    <w:name w:val="Intense Reference"/>
    <w:basedOn w:val="Absatz-Standardschriftart"/>
    <w:uiPriority w:val="32"/>
    <w:qFormat/>
    <w:rsid w:val="005257DF"/>
    <w:rPr>
      <w:b/>
      <w:bCs/>
      <w:smallCaps/>
      <w:color w:val="2F5496" w:themeColor="accent1" w:themeShade="BF"/>
      <w:spacing w:val="5"/>
    </w:rPr>
  </w:style>
  <w:style w:type="paragraph" w:customStyle="1" w:styleId="p1">
    <w:name w:val="p1"/>
    <w:basedOn w:val="Standard"/>
    <w:rsid w:val="005257DF"/>
    <w:rPr>
      <w:rFonts w:ascii="Helvetica" w:eastAsia="Times New Roman" w:hAnsi="Helvetica" w:cs="Times New Roman"/>
      <w:color w:val="118BB5"/>
      <w:kern w:val="0"/>
      <w:sz w:val="16"/>
      <w:szCs w:val="16"/>
      <w:lang w:eastAsia="de-DE"/>
      <w14:ligatures w14:val="none"/>
    </w:rPr>
  </w:style>
  <w:style w:type="paragraph" w:customStyle="1" w:styleId="p2">
    <w:name w:val="p2"/>
    <w:basedOn w:val="Standard"/>
    <w:rsid w:val="005257DF"/>
    <w:rPr>
      <w:rFonts w:ascii="Palatino" w:eastAsia="Times New Roman" w:hAnsi="Palatino" w:cs="Times New Roman"/>
      <w:color w:val="000000"/>
      <w:kern w:val="0"/>
      <w:sz w:val="14"/>
      <w:szCs w:val="14"/>
      <w:lang w:eastAsia="de-DE"/>
      <w14:ligatures w14:val="none"/>
    </w:rPr>
  </w:style>
  <w:style w:type="table" w:styleId="Tabellenraster">
    <w:name w:val="Table Grid"/>
    <w:basedOn w:val="NormaleTabelle"/>
    <w:uiPriority w:val="39"/>
    <w:rsid w:val="00484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Absatz-Standardschriftart"/>
    <w:rsid w:val="00484339"/>
    <w:rPr>
      <w:rFonts w:ascii="Zapf Dingbats" w:hAnsi="Zapf Dingbats" w:hint="default"/>
      <w:color w:val="1081AD"/>
      <w:sz w:val="14"/>
      <w:szCs w:val="14"/>
    </w:rPr>
  </w:style>
  <w:style w:type="paragraph" w:customStyle="1" w:styleId="p3">
    <w:name w:val="p3"/>
    <w:basedOn w:val="Standard"/>
    <w:rsid w:val="00B87A84"/>
    <w:rPr>
      <w:rFonts w:ascii="Helvetica" w:eastAsia="Times New Roman" w:hAnsi="Helvetica" w:cs="Times New Roman"/>
      <w:color w:val="1081AD"/>
      <w:kern w:val="0"/>
      <w:sz w:val="18"/>
      <w:szCs w:val="18"/>
      <w:lang w:eastAsia="de-DE"/>
      <w14:ligatures w14:val="none"/>
    </w:rPr>
  </w:style>
  <w:style w:type="paragraph" w:customStyle="1" w:styleId="p4">
    <w:name w:val="p4"/>
    <w:basedOn w:val="Standard"/>
    <w:rsid w:val="00B87A84"/>
    <w:rPr>
      <w:rFonts w:ascii="Helvetica" w:eastAsia="Times New Roman" w:hAnsi="Helvetica" w:cs="Times New Roman"/>
      <w:color w:val="FFFFFF"/>
      <w:kern w:val="0"/>
      <w:sz w:val="16"/>
      <w:szCs w:val="16"/>
      <w:lang w:eastAsia="de-DE"/>
      <w14:ligatures w14:val="none"/>
    </w:rPr>
  </w:style>
  <w:style w:type="character" w:customStyle="1" w:styleId="s2">
    <w:name w:val="s2"/>
    <w:basedOn w:val="Absatz-Standardschriftart"/>
    <w:rsid w:val="00B87A84"/>
    <w:rPr>
      <w:rFonts w:ascii="Helvetica" w:hAnsi="Helvetica"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2841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2026-01-21T09:27:00Z</dcterms:created>
  <dcterms:modified xsi:type="dcterms:W3CDTF">2026-01-21T09:27:00Z</dcterms:modified>
</cp:coreProperties>
</file>