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0C7B4" w14:textId="0C388385" w:rsidR="005A1FFC" w:rsidRDefault="005A1FFC" w:rsidP="005A1FFC">
      <w:pPr>
        <w:rPr>
          <w:rFonts w:cstheme="minorHAnsi"/>
          <w:b/>
          <w:bCs/>
        </w:rPr>
      </w:pPr>
      <w:r>
        <w:rPr>
          <w:rFonts w:cstheme="minorHAnsi"/>
          <w:b/>
          <w:bCs/>
        </w:rPr>
        <w:t>Ü-Urlaubsanspurch</w:t>
      </w:r>
    </w:p>
    <w:p w14:paraId="70958A1E" w14:textId="77777777" w:rsidR="005A1FFC" w:rsidRDefault="005A1FFC" w:rsidP="005A1FFC">
      <w:pPr>
        <w:rPr>
          <w:rFonts w:cstheme="minorHAnsi"/>
          <w:b/>
          <w:bCs/>
        </w:rPr>
      </w:pPr>
    </w:p>
    <w:p w14:paraId="5DA2A186" w14:textId="02EA463F" w:rsidR="005A1FFC" w:rsidRPr="005C6C8A" w:rsidRDefault="005A1FFC" w:rsidP="005A1FFC">
      <w:pPr>
        <w:rPr>
          <w:rFonts w:cstheme="minorHAnsi"/>
          <w:b/>
          <w:bCs/>
        </w:rPr>
      </w:pPr>
      <w:r w:rsidRPr="005C6C8A">
        <w:rPr>
          <w:rFonts w:cstheme="minorHAnsi"/>
          <w:b/>
          <w:bCs/>
        </w:rPr>
        <w:t>Übersicht: Urlaubsanspruch in 7 Schritten prüfen</w:t>
      </w:r>
    </w:p>
    <w:tbl>
      <w:tblPr>
        <w:tblW w:w="1005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510"/>
      </w:tblGrid>
      <w:tr w:rsidR="005A1FFC" w:rsidRPr="005C6C8A" w14:paraId="19A6D453" w14:textId="77777777" w:rsidTr="00902916">
        <w:tc>
          <w:tcPr>
            <w:tcW w:w="3544" w:type="dxa"/>
          </w:tcPr>
          <w:p w14:paraId="431B75C9" w14:textId="77777777" w:rsidR="005A1FFC" w:rsidRPr="005C6C8A" w:rsidRDefault="005A1FFC" w:rsidP="00902916">
            <w:pPr>
              <w:autoSpaceDE w:val="0"/>
              <w:autoSpaceDN w:val="0"/>
              <w:adjustRightInd w:val="0"/>
              <w:rPr>
                <w:rFonts w:cstheme="minorHAnsi"/>
                <w:b/>
                <w:bCs/>
              </w:rPr>
            </w:pPr>
            <w:r w:rsidRPr="005C6C8A">
              <w:rPr>
                <w:rFonts w:cstheme="minorHAnsi"/>
                <w:b/>
                <w:bCs/>
              </w:rPr>
              <w:t>Prüfschritt</w:t>
            </w:r>
          </w:p>
        </w:tc>
        <w:tc>
          <w:tcPr>
            <w:tcW w:w="6510" w:type="dxa"/>
          </w:tcPr>
          <w:p w14:paraId="0F826D46" w14:textId="77777777" w:rsidR="005A1FFC" w:rsidRPr="005C6C8A" w:rsidRDefault="005A1FFC" w:rsidP="00902916">
            <w:pPr>
              <w:autoSpaceDE w:val="0"/>
              <w:autoSpaceDN w:val="0"/>
              <w:adjustRightInd w:val="0"/>
              <w:rPr>
                <w:rFonts w:cstheme="minorHAnsi"/>
                <w:b/>
                <w:bCs/>
              </w:rPr>
            </w:pPr>
            <w:r w:rsidRPr="005C6C8A">
              <w:rPr>
                <w:rFonts w:cstheme="minorHAnsi"/>
                <w:b/>
                <w:bCs/>
              </w:rPr>
              <w:t>Was Sie dazu wissen müssen</w:t>
            </w:r>
          </w:p>
        </w:tc>
      </w:tr>
      <w:tr w:rsidR="005A1FFC" w:rsidRPr="005C6C8A" w14:paraId="38D3F951" w14:textId="77777777" w:rsidTr="00902916">
        <w:tc>
          <w:tcPr>
            <w:tcW w:w="3544" w:type="dxa"/>
          </w:tcPr>
          <w:p w14:paraId="302C28FA" w14:textId="77777777" w:rsidR="005A1FFC" w:rsidRPr="005C6C8A" w:rsidRDefault="005A1FFC" w:rsidP="00902916">
            <w:pPr>
              <w:pStyle w:val="Listenabsatz"/>
              <w:numPr>
                <w:ilvl w:val="0"/>
                <w:numId w:val="2"/>
              </w:numPr>
              <w:rPr>
                <w:rFonts w:cstheme="minorHAnsi"/>
                <w:bCs/>
              </w:rPr>
            </w:pPr>
            <w:r w:rsidRPr="005C6C8A">
              <w:rPr>
                <w:rFonts w:cstheme="minorHAnsi"/>
                <w:bCs/>
              </w:rPr>
              <w:t>Fällt Ihr Kollege unter den Geltungsbereich des Bundesurlaubsgesetzes (§ 2 B</w:t>
            </w:r>
            <w:r>
              <w:rPr>
                <w:rFonts w:cstheme="minorHAnsi"/>
                <w:bCs/>
              </w:rPr>
              <w:t>U</w:t>
            </w:r>
            <w:r w:rsidRPr="005C6C8A">
              <w:rPr>
                <w:rFonts w:cstheme="minorHAnsi"/>
                <w:bCs/>
              </w:rPr>
              <w:t>rlG)?</w:t>
            </w:r>
          </w:p>
        </w:tc>
        <w:tc>
          <w:tcPr>
            <w:tcW w:w="6510" w:type="dxa"/>
          </w:tcPr>
          <w:p w14:paraId="292CDAD5" w14:textId="77777777" w:rsidR="005A1FFC" w:rsidRPr="005C6C8A" w:rsidRDefault="005A1FFC" w:rsidP="00902916">
            <w:pPr>
              <w:autoSpaceDE w:val="0"/>
              <w:autoSpaceDN w:val="0"/>
              <w:adjustRightInd w:val="0"/>
              <w:rPr>
                <w:rFonts w:cstheme="minorHAnsi"/>
                <w:bCs/>
              </w:rPr>
            </w:pPr>
            <w:r w:rsidRPr="005C6C8A">
              <w:rPr>
                <w:rFonts w:cstheme="minorHAnsi"/>
                <w:bCs/>
              </w:rPr>
              <w:t>Das Gesetz ist anwendbar auf Arbeiter, Angestellte, Auszubildende, Heimarbeiter und arbeitnehmerähnliche Personen.</w:t>
            </w:r>
          </w:p>
        </w:tc>
      </w:tr>
      <w:tr w:rsidR="005A1FFC" w:rsidRPr="005C6C8A" w14:paraId="4A7039C0" w14:textId="77777777" w:rsidTr="00902916">
        <w:tc>
          <w:tcPr>
            <w:tcW w:w="3544" w:type="dxa"/>
          </w:tcPr>
          <w:p w14:paraId="37106D65" w14:textId="77777777" w:rsidR="005A1FFC" w:rsidRPr="005C6C8A" w:rsidRDefault="005A1FFC" w:rsidP="00902916">
            <w:pPr>
              <w:pStyle w:val="Listenabsatz"/>
              <w:numPr>
                <w:ilvl w:val="0"/>
                <w:numId w:val="2"/>
              </w:numPr>
              <w:rPr>
                <w:rFonts w:cstheme="minorHAnsi"/>
                <w:bCs/>
              </w:rPr>
            </w:pPr>
            <w:r w:rsidRPr="005C6C8A">
              <w:rPr>
                <w:rFonts w:cstheme="minorHAnsi"/>
                <w:bCs/>
              </w:rPr>
              <w:t>Hat Ihr Kollege einen Anspruch auf einen vollen Jahresurlaub?</w:t>
            </w:r>
          </w:p>
        </w:tc>
        <w:tc>
          <w:tcPr>
            <w:tcW w:w="6510" w:type="dxa"/>
          </w:tcPr>
          <w:p w14:paraId="0C4194C9" w14:textId="77777777" w:rsidR="005A1FFC" w:rsidRPr="005C6C8A" w:rsidRDefault="005A1FFC" w:rsidP="00902916">
            <w:pPr>
              <w:autoSpaceDE w:val="0"/>
              <w:autoSpaceDN w:val="0"/>
              <w:adjustRightInd w:val="0"/>
              <w:rPr>
                <w:rFonts w:cstheme="minorHAnsi"/>
                <w:bCs/>
              </w:rPr>
            </w:pPr>
            <w:r w:rsidRPr="005C6C8A">
              <w:rPr>
                <w:rFonts w:cstheme="minorHAnsi"/>
                <w:bCs/>
              </w:rPr>
              <w:t>Ja, wenn die Wartezeit von 6 Monaten erfüllt wurde (§ 4 BUrlG).</w:t>
            </w:r>
          </w:p>
          <w:p w14:paraId="4AF5955F" w14:textId="77777777" w:rsidR="005A1FFC" w:rsidRPr="005C6C8A" w:rsidRDefault="005A1FFC" w:rsidP="00902916">
            <w:pPr>
              <w:autoSpaceDE w:val="0"/>
              <w:autoSpaceDN w:val="0"/>
              <w:adjustRightInd w:val="0"/>
              <w:rPr>
                <w:rFonts w:cstheme="minorHAnsi"/>
                <w:bCs/>
              </w:rPr>
            </w:pPr>
            <w:r w:rsidRPr="005C6C8A">
              <w:rPr>
                <w:rFonts w:cstheme="minorHAnsi"/>
                <w:bCs/>
              </w:rPr>
              <w:t>Berücksichtigen Sie im Zweifel eine tarif- oder arbeitsvertragliche Regelung der Wartezeit.</w:t>
            </w:r>
          </w:p>
        </w:tc>
      </w:tr>
      <w:tr w:rsidR="005A1FFC" w:rsidRPr="005C6C8A" w14:paraId="3654A6D9" w14:textId="77777777" w:rsidTr="00902916">
        <w:tc>
          <w:tcPr>
            <w:tcW w:w="3544" w:type="dxa"/>
          </w:tcPr>
          <w:p w14:paraId="4E64453A" w14:textId="77777777" w:rsidR="005A1FFC" w:rsidRPr="005C6C8A" w:rsidRDefault="005A1FFC" w:rsidP="00902916">
            <w:pPr>
              <w:pStyle w:val="Listenabsatz"/>
              <w:numPr>
                <w:ilvl w:val="0"/>
                <w:numId w:val="2"/>
              </w:numPr>
              <w:rPr>
                <w:rFonts w:cstheme="minorHAnsi"/>
                <w:bCs/>
              </w:rPr>
            </w:pPr>
            <w:r w:rsidRPr="005C6C8A">
              <w:rPr>
                <w:rFonts w:cstheme="minorHAnsi"/>
                <w:bCs/>
              </w:rPr>
              <w:t>Wie hoch ist der gesetzliche bzw. vertraglich vorgesehene Jahresurlaub?</w:t>
            </w:r>
          </w:p>
        </w:tc>
        <w:tc>
          <w:tcPr>
            <w:tcW w:w="6510" w:type="dxa"/>
          </w:tcPr>
          <w:p w14:paraId="77C0B109" w14:textId="77777777" w:rsidR="005A1FFC" w:rsidRPr="005C6C8A" w:rsidRDefault="005A1FFC" w:rsidP="00902916">
            <w:pPr>
              <w:autoSpaceDE w:val="0"/>
              <w:autoSpaceDN w:val="0"/>
              <w:adjustRightInd w:val="0"/>
              <w:rPr>
                <w:rFonts w:cstheme="minorHAnsi"/>
                <w:bCs/>
              </w:rPr>
            </w:pPr>
            <w:r w:rsidRPr="005C6C8A">
              <w:rPr>
                <w:rFonts w:cstheme="minorHAnsi"/>
                <w:bCs/>
              </w:rPr>
              <w:t>Der gesetzliche Mindesturlaub beträgt mindestens 24 Werktage bei einer 6 Tage Arbeitswoche (§ 3 BUrlG), häufig 30 Arbeitstage.</w:t>
            </w:r>
          </w:p>
        </w:tc>
      </w:tr>
      <w:tr w:rsidR="005A1FFC" w:rsidRPr="005C6C8A" w14:paraId="7A1B94F9" w14:textId="77777777" w:rsidTr="00902916">
        <w:tc>
          <w:tcPr>
            <w:tcW w:w="3544" w:type="dxa"/>
          </w:tcPr>
          <w:p w14:paraId="6891A0FB" w14:textId="77777777" w:rsidR="005A1FFC" w:rsidRPr="005C6C8A" w:rsidRDefault="005A1FFC" w:rsidP="00902916">
            <w:pPr>
              <w:pStyle w:val="Listenabsatz"/>
              <w:numPr>
                <w:ilvl w:val="0"/>
                <w:numId w:val="2"/>
              </w:numPr>
              <w:rPr>
                <w:rFonts w:cstheme="minorHAnsi"/>
                <w:bCs/>
              </w:rPr>
            </w:pPr>
            <w:r w:rsidRPr="005C6C8A">
              <w:rPr>
                <w:rFonts w:cstheme="minorHAnsi"/>
                <w:bCs/>
              </w:rPr>
              <w:t>Gilt für den Kollegen ein anderer Urlaubsanspruch; z.B. auf Grund der Tatsache, dass Ihr Kollege einer besonderen Personengruppe angehört?</w:t>
            </w:r>
          </w:p>
        </w:tc>
        <w:tc>
          <w:tcPr>
            <w:tcW w:w="6510" w:type="dxa"/>
          </w:tcPr>
          <w:p w14:paraId="35D9A855" w14:textId="77777777" w:rsidR="005A1FFC" w:rsidRPr="005C6C8A" w:rsidRDefault="005A1FFC" w:rsidP="00902916">
            <w:pPr>
              <w:autoSpaceDE w:val="0"/>
              <w:autoSpaceDN w:val="0"/>
              <w:adjustRightInd w:val="0"/>
              <w:rPr>
                <w:rFonts w:cstheme="minorHAnsi"/>
                <w:bCs/>
              </w:rPr>
            </w:pPr>
            <w:r w:rsidRPr="005C6C8A">
              <w:rPr>
                <w:rFonts w:cstheme="minorHAnsi"/>
                <w:bCs/>
              </w:rPr>
              <w:t>Schwerbehinderte Arbeitnehmer und Jugendliche haben unter Umständen einen höheren Urlaubsanspruch. Teilzeitkräfte können hingegen je nach Lage der Arbeitszeit einen geringeren Anspruch haben. Mehr zu diesen Besonderheiten lesen Sie auf der Seite 4.</w:t>
            </w:r>
          </w:p>
        </w:tc>
      </w:tr>
      <w:tr w:rsidR="005A1FFC" w:rsidRPr="005C6C8A" w14:paraId="1E897424" w14:textId="77777777" w:rsidTr="00902916">
        <w:tc>
          <w:tcPr>
            <w:tcW w:w="3544" w:type="dxa"/>
          </w:tcPr>
          <w:p w14:paraId="0F2F1B55" w14:textId="77777777" w:rsidR="005A1FFC" w:rsidRPr="005C6C8A" w:rsidRDefault="005A1FFC" w:rsidP="00902916">
            <w:pPr>
              <w:pStyle w:val="Listenabsatz"/>
              <w:numPr>
                <w:ilvl w:val="0"/>
                <w:numId w:val="2"/>
              </w:numPr>
              <w:rPr>
                <w:rFonts w:cstheme="minorHAnsi"/>
                <w:bCs/>
              </w:rPr>
            </w:pPr>
            <w:r w:rsidRPr="005C6C8A">
              <w:rPr>
                <w:rFonts w:cstheme="minorHAnsi"/>
                <w:bCs/>
              </w:rPr>
              <w:t>Besteht im konkreten Fall nur ein Anspruch auf Teilurlaub?</w:t>
            </w:r>
          </w:p>
        </w:tc>
        <w:tc>
          <w:tcPr>
            <w:tcW w:w="6510" w:type="dxa"/>
          </w:tcPr>
          <w:p w14:paraId="1D383D8F" w14:textId="77777777" w:rsidR="005A1FFC" w:rsidRPr="005C6C8A" w:rsidRDefault="005A1FFC" w:rsidP="00902916">
            <w:pPr>
              <w:autoSpaceDE w:val="0"/>
              <w:autoSpaceDN w:val="0"/>
              <w:adjustRightInd w:val="0"/>
              <w:rPr>
                <w:rFonts w:cstheme="minorHAnsi"/>
                <w:bCs/>
              </w:rPr>
            </w:pPr>
            <w:r w:rsidRPr="005C6C8A">
              <w:rPr>
                <w:rFonts w:cstheme="minorHAnsi"/>
                <w:bCs/>
              </w:rPr>
              <w:t xml:space="preserve">Ja, nach § 5 Abs. 1 BUrlG, falls </w:t>
            </w:r>
          </w:p>
          <w:p w14:paraId="119E5AD6" w14:textId="77777777" w:rsidR="005A1FFC" w:rsidRPr="005C6C8A" w:rsidRDefault="005A1FFC" w:rsidP="00902916">
            <w:pPr>
              <w:pStyle w:val="Listenabsatz"/>
              <w:numPr>
                <w:ilvl w:val="0"/>
                <w:numId w:val="1"/>
              </w:numPr>
              <w:rPr>
                <w:rFonts w:cstheme="minorHAnsi"/>
                <w:bCs/>
              </w:rPr>
            </w:pPr>
            <w:r w:rsidRPr="005C6C8A">
              <w:rPr>
                <w:rFonts w:cstheme="minorHAnsi"/>
                <w:bCs/>
              </w:rPr>
              <w:t>bei Neueinstellung die Wartezeit im Kalenderjahr nicht mehr erfüllt werden kann,</w:t>
            </w:r>
          </w:p>
          <w:p w14:paraId="030F8CF4" w14:textId="77777777" w:rsidR="005A1FFC" w:rsidRPr="005C6C8A" w:rsidRDefault="005A1FFC" w:rsidP="00902916">
            <w:pPr>
              <w:pStyle w:val="Listenabsatz"/>
              <w:numPr>
                <w:ilvl w:val="0"/>
                <w:numId w:val="1"/>
              </w:numPr>
              <w:rPr>
                <w:rFonts w:cstheme="minorHAnsi"/>
                <w:bCs/>
              </w:rPr>
            </w:pPr>
            <w:r w:rsidRPr="005C6C8A">
              <w:rPr>
                <w:rFonts w:cstheme="minorHAnsi"/>
                <w:bCs/>
              </w:rPr>
              <w:t>der Kollege vor erfüllter Wartezeit aus dem Arbeitsverhältnis ausscheidet,</w:t>
            </w:r>
          </w:p>
          <w:p w14:paraId="069F0B84" w14:textId="77777777" w:rsidR="005A1FFC" w:rsidRPr="005C6C8A" w:rsidRDefault="005A1FFC" w:rsidP="00902916">
            <w:pPr>
              <w:pStyle w:val="Listenabsatz"/>
              <w:numPr>
                <w:ilvl w:val="0"/>
                <w:numId w:val="1"/>
              </w:numPr>
              <w:rPr>
                <w:rFonts w:cstheme="minorHAnsi"/>
                <w:bCs/>
              </w:rPr>
            </w:pPr>
            <w:r w:rsidRPr="005C6C8A">
              <w:rPr>
                <w:rFonts w:cstheme="minorHAnsi"/>
                <w:bCs/>
              </w:rPr>
              <w:t>der Arbeitnehmer nach erfüllter Wartezeit in der ersten Hälfte des Kalenderjahres aus dem Arbeitsverhältnis ausscheidet ( = bis zum Ablauf 30.6.)</w:t>
            </w:r>
          </w:p>
        </w:tc>
      </w:tr>
      <w:tr w:rsidR="005A1FFC" w:rsidRPr="005C6C8A" w14:paraId="09AE4A8F" w14:textId="77777777" w:rsidTr="00902916">
        <w:tc>
          <w:tcPr>
            <w:tcW w:w="3544" w:type="dxa"/>
          </w:tcPr>
          <w:p w14:paraId="1A39417F" w14:textId="77777777" w:rsidR="005A1FFC" w:rsidRPr="005C6C8A" w:rsidRDefault="005A1FFC" w:rsidP="00902916">
            <w:pPr>
              <w:pStyle w:val="Listenabsatz"/>
              <w:numPr>
                <w:ilvl w:val="0"/>
                <w:numId w:val="2"/>
              </w:numPr>
              <w:rPr>
                <w:rFonts w:cstheme="minorHAnsi"/>
                <w:bCs/>
              </w:rPr>
            </w:pPr>
            <w:r w:rsidRPr="005C6C8A">
              <w:rPr>
                <w:rFonts w:cstheme="minorHAnsi"/>
                <w:bCs/>
              </w:rPr>
              <w:t>Wie hoch ist der Teilurlaub?</w:t>
            </w:r>
          </w:p>
        </w:tc>
        <w:tc>
          <w:tcPr>
            <w:tcW w:w="6510" w:type="dxa"/>
          </w:tcPr>
          <w:p w14:paraId="21926EB8" w14:textId="77777777" w:rsidR="005A1FFC" w:rsidRPr="005C6C8A" w:rsidRDefault="005A1FFC" w:rsidP="00902916">
            <w:pPr>
              <w:autoSpaceDE w:val="0"/>
              <w:autoSpaceDN w:val="0"/>
              <w:adjustRightInd w:val="0"/>
              <w:rPr>
                <w:rFonts w:cstheme="minorHAnsi"/>
                <w:bCs/>
              </w:rPr>
            </w:pPr>
            <w:r w:rsidRPr="005C6C8A">
              <w:rPr>
                <w:rFonts w:cstheme="minorHAnsi"/>
                <w:bCs/>
              </w:rPr>
              <w:t>1/12 des Jahresurlaubs je vollen Beschäftigungsmonats</w:t>
            </w:r>
          </w:p>
        </w:tc>
      </w:tr>
      <w:tr w:rsidR="005A1FFC" w:rsidRPr="005C6C8A" w14:paraId="27EDFFCE" w14:textId="77777777" w:rsidTr="00902916">
        <w:tc>
          <w:tcPr>
            <w:tcW w:w="3544" w:type="dxa"/>
            <w:tcBorders>
              <w:top w:val="single" w:sz="4" w:space="0" w:color="auto"/>
              <w:left w:val="single" w:sz="4" w:space="0" w:color="auto"/>
              <w:bottom w:val="single" w:sz="4" w:space="0" w:color="auto"/>
              <w:right w:val="single" w:sz="4" w:space="0" w:color="auto"/>
            </w:tcBorders>
          </w:tcPr>
          <w:p w14:paraId="7E6F0EE3" w14:textId="77777777" w:rsidR="005A1FFC" w:rsidRPr="005C6C8A" w:rsidRDefault="005A1FFC" w:rsidP="00902916">
            <w:pPr>
              <w:pStyle w:val="Listenabsatz"/>
              <w:numPr>
                <w:ilvl w:val="0"/>
                <w:numId w:val="2"/>
              </w:numPr>
              <w:suppressAutoHyphens/>
              <w:spacing w:after="200" w:line="276" w:lineRule="auto"/>
              <w:rPr>
                <w:rFonts w:cstheme="minorHAnsi"/>
                <w:bCs/>
              </w:rPr>
            </w:pPr>
            <w:r w:rsidRPr="005C6C8A">
              <w:rPr>
                <w:rFonts w:cstheme="minorHAnsi"/>
                <w:bCs/>
              </w:rPr>
              <w:t>Ist die Anrechnung des Urlaubs möglich?</w:t>
            </w:r>
          </w:p>
        </w:tc>
        <w:tc>
          <w:tcPr>
            <w:tcW w:w="6510" w:type="dxa"/>
            <w:tcBorders>
              <w:top w:val="single" w:sz="4" w:space="0" w:color="auto"/>
              <w:left w:val="single" w:sz="4" w:space="0" w:color="auto"/>
              <w:bottom w:val="single" w:sz="4" w:space="0" w:color="auto"/>
              <w:right w:val="single" w:sz="4" w:space="0" w:color="auto"/>
            </w:tcBorders>
          </w:tcPr>
          <w:p w14:paraId="059B0A7D" w14:textId="77777777" w:rsidR="005A1FFC" w:rsidRPr="005C6C8A" w:rsidRDefault="005A1FFC" w:rsidP="00902916">
            <w:pPr>
              <w:autoSpaceDE w:val="0"/>
              <w:autoSpaceDN w:val="0"/>
              <w:adjustRightInd w:val="0"/>
              <w:rPr>
                <w:rFonts w:cstheme="minorHAnsi"/>
                <w:bCs/>
              </w:rPr>
            </w:pPr>
            <w:r w:rsidRPr="005C6C8A">
              <w:rPr>
                <w:rFonts w:cstheme="minorHAnsi"/>
                <w:bCs/>
              </w:rPr>
              <w:t>Ja, wenn es sich um einen neuen Kollegen handelt und diesem bereits von seinem früheren Arbeitgeber Urlaub gewährt wurde.</w:t>
            </w:r>
          </w:p>
        </w:tc>
      </w:tr>
    </w:tbl>
    <w:p w14:paraId="707B439F" w14:textId="77777777" w:rsidR="005A1FFC" w:rsidRDefault="005A1FFC" w:rsidP="005A1FFC"/>
    <w:p w14:paraId="455083D7" w14:textId="77777777" w:rsidR="00EA4C1B" w:rsidRDefault="00EA4C1B"/>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C59CB"/>
    <w:multiLevelType w:val="hybridMultilevel"/>
    <w:tmpl w:val="289C4536"/>
    <w:lvl w:ilvl="0" w:tplc="851601E6">
      <w:start w:val="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3309E0"/>
    <w:multiLevelType w:val="hybridMultilevel"/>
    <w:tmpl w:val="014AB31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22076112">
    <w:abstractNumId w:val="0"/>
  </w:num>
  <w:num w:numId="2" w16cid:durableId="1959943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FC"/>
    <w:rsid w:val="00153551"/>
    <w:rsid w:val="005571C0"/>
    <w:rsid w:val="005A1FFC"/>
    <w:rsid w:val="005D0695"/>
    <w:rsid w:val="00664AAB"/>
    <w:rsid w:val="0094513C"/>
    <w:rsid w:val="00AF793C"/>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65C58"/>
  <w15:chartTrackingRefBased/>
  <w15:docId w15:val="{84E25BB9-D033-F44E-BFFD-BE23F08D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1FFC"/>
  </w:style>
  <w:style w:type="paragraph" w:styleId="berschrift1">
    <w:name w:val="heading 1"/>
    <w:basedOn w:val="Standard"/>
    <w:next w:val="Standard"/>
    <w:link w:val="berschrift1Zchn"/>
    <w:uiPriority w:val="9"/>
    <w:qFormat/>
    <w:rsid w:val="005A1F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A1F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A1FF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A1FF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A1FF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A1FFC"/>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A1FFC"/>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A1FFC"/>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A1FFC"/>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1FF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A1FF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A1FF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A1FF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A1FF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A1FF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A1FF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A1FF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A1FFC"/>
    <w:rPr>
      <w:rFonts w:eastAsiaTheme="majorEastAsia" w:cstheme="majorBidi"/>
      <w:color w:val="272727" w:themeColor="text1" w:themeTint="D8"/>
    </w:rPr>
  </w:style>
  <w:style w:type="paragraph" w:styleId="Titel">
    <w:name w:val="Title"/>
    <w:basedOn w:val="Standard"/>
    <w:next w:val="Standard"/>
    <w:link w:val="TitelZchn"/>
    <w:uiPriority w:val="10"/>
    <w:qFormat/>
    <w:rsid w:val="005A1FF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A1FF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A1FFC"/>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A1FF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A1FFC"/>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A1FFC"/>
    <w:rPr>
      <w:i/>
      <w:iCs/>
      <w:color w:val="404040" w:themeColor="text1" w:themeTint="BF"/>
    </w:rPr>
  </w:style>
  <w:style w:type="paragraph" w:styleId="Listenabsatz">
    <w:name w:val="List Paragraph"/>
    <w:basedOn w:val="Standard"/>
    <w:uiPriority w:val="34"/>
    <w:qFormat/>
    <w:rsid w:val="005A1FFC"/>
    <w:pPr>
      <w:ind w:left="720"/>
      <w:contextualSpacing/>
    </w:pPr>
  </w:style>
  <w:style w:type="character" w:styleId="IntensiveHervorhebung">
    <w:name w:val="Intense Emphasis"/>
    <w:basedOn w:val="Absatz-Standardschriftart"/>
    <w:uiPriority w:val="21"/>
    <w:qFormat/>
    <w:rsid w:val="005A1FFC"/>
    <w:rPr>
      <w:i/>
      <w:iCs/>
      <w:color w:val="0F4761" w:themeColor="accent1" w:themeShade="BF"/>
    </w:rPr>
  </w:style>
  <w:style w:type="paragraph" w:styleId="IntensivesZitat">
    <w:name w:val="Intense Quote"/>
    <w:basedOn w:val="Standard"/>
    <w:next w:val="Standard"/>
    <w:link w:val="IntensivesZitatZchn"/>
    <w:uiPriority w:val="30"/>
    <w:qFormat/>
    <w:rsid w:val="005A1F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A1FFC"/>
    <w:rPr>
      <w:i/>
      <w:iCs/>
      <w:color w:val="0F4761" w:themeColor="accent1" w:themeShade="BF"/>
    </w:rPr>
  </w:style>
  <w:style w:type="character" w:styleId="IntensiverVerweis">
    <w:name w:val="Intense Reference"/>
    <w:basedOn w:val="Absatz-Standardschriftart"/>
    <w:uiPriority w:val="32"/>
    <w:qFormat/>
    <w:rsid w:val="005A1F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1519</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2026-02-02T14:45:00Z</dcterms:created>
  <dcterms:modified xsi:type="dcterms:W3CDTF">2026-02-02T14:45:00Z</dcterms:modified>
</cp:coreProperties>
</file>