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8235" w14:textId="5C42FC1A" w:rsidR="00F66A0D" w:rsidRPr="00F66A0D" w:rsidRDefault="00F66A0D" w:rsidP="00F66A0D">
      <w:pPr>
        <w:rPr>
          <w:rFonts w:cstheme="minorHAnsi"/>
          <w:b/>
          <w:bCs/>
          <w:sz w:val="32"/>
          <w:szCs w:val="32"/>
        </w:rPr>
      </w:pPr>
      <w:r w:rsidRPr="00F66A0D">
        <w:rPr>
          <w:rFonts w:cstheme="minorHAnsi"/>
          <w:b/>
          <w:bCs/>
          <w:sz w:val="32"/>
          <w:szCs w:val="32"/>
        </w:rPr>
        <w:t>Checkliste: Betriebsvereinbarung Einführung IT-System</w:t>
      </w:r>
    </w:p>
    <w:tbl>
      <w:tblPr>
        <w:tblStyle w:val="Tabellenraster"/>
        <w:tblW w:w="9639" w:type="dxa"/>
        <w:tblLayout w:type="fixed"/>
        <w:tblLook w:val="0000" w:firstRow="0" w:lastRow="0" w:firstColumn="0" w:lastColumn="0" w:noHBand="0" w:noVBand="0"/>
      </w:tblPr>
      <w:tblGrid>
        <w:gridCol w:w="8075"/>
        <w:gridCol w:w="851"/>
        <w:gridCol w:w="713"/>
      </w:tblGrid>
      <w:tr w:rsidR="00F66A0D" w:rsidRPr="00F66A0D" w14:paraId="4A8EC5C1" w14:textId="77777777" w:rsidTr="00F66A0D">
        <w:trPr>
          <w:trHeight w:val="60"/>
        </w:trPr>
        <w:tc>
          <w:tcPr>
            <w:tcW w:w="8075" w:type="dxa"/>
          </w:tcPr>
          <w:p w14:paraId="1D77DE96" w14:textId="7777777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6A0D">
              <w:rPr>
                <w:rFonts w:cstheme="minorHAnsi"/>
                <w:b/>
                <w:bCs/>
                <w:sz w:val="22"/>
                <w:szCs w:val="22"/>
              </w:rPr>
              <w:t>Prüfungspunkt</w:t>
            </w:r>
          </w:p>
        </w:tc>
        <w:tc>
          <w:tcPr>
            <w:tcW w:w="851" w:type="dxa"/>
          </w:tcPr>
          <w:p w14:paraId="1AA2DF82" w14:textId="7777777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6A0D">
              <w:rPr>
                <w:rFonts w:cs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13" w:type="dxa"/>
          </w:tcPr>
          <w:p w14:paraId="75654ED9" w14:textId="7777777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6A0D">
              <w:rPr>
                <w:rFonts w:cstheme="minorHAnsi"/>
                <w:b/>
                <w:bCs/>
                <w:sz w:val="22"/>
                <w:szCs w:val="22"/>
              </w:rPr>
              <w:t>Nein</w:t>
            </w:r>
          </w:p>
        </w:tc>
      </w:tr>
      <w:tr w:rsidR="00F66A0D" w:rsidRPr="00F66A0D" w14:paraId="5F932374" w14:textId="77777777" w:rsidTr="00F66A0D">
        <w:trPr>
          <w:trHeight w:hRule="exact" w:val="533"/>
        </w:trPr>
        <w:tc>
          <w:tcPr>
            <w:tcW w:w="8075" w:type="dxa"/>
          </w:tcPr>
          <w:p w14:paraId="62455EBE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Vertragsparteien benannt</w:t>
            </w:r>
          </w:p>
        </w:tc>
        <w:tc>
          <w:tcPr>
            <w:tcW w:w="851" w:type="dxa"/>
          </w:tcPr>
          <w:p w14:paraId="1A5092DD" w14:textId="0B590F66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201EFB15" w14:textId="230CBB22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5BD3DB6C" w14:textId="77777777" w:rsidTr="00F66A0D">
        <w:trPr>
          <w:trHeight w:hRule="exact" w:val="568"/>
        </w:trPr>
        <w:tc>
          <w:tcPr>
            <w:tcW w:w="8075" w:type="dxa"/>
          </w:tcPr>
          <w:p w14:paraId="2AC3F647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Ziel der Betriebsvereinbarung in der Präambel definiert</w:t>
            </w:r>
          </w:p>
        </w:tc>
        <w:tc>
          <w:tcPr>
            <w:tcW w:w="851" w:type="dxa"/>
          </w:tcPr>
          <w:p w14:paraId="3ACBD32A" w14:textId="68FCDAB9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3870D623" w14:textId="428F9294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6B30499C" w14:textId="77777777" w:rsidTr="00F66A0D">
        <w:trPr>
          <w:trHeight w:hRule="exact" w:val="623"/>
        </w:trPr>
        <w:tc>
          <w:tcPr>
            <w:tcW w:w="8075" w:type="dxa"/>
          </w:tcPr>
          <w:p w14:paraId="6995AED9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Sachlichen, persönlichen und unter Umständen räumlichen Geltungsbereich geklärt</w:t>
            </w:r>
          </w:p>
        </w:tc>
        <w:tc>
          <w:tcPr>
            <w:tcW w:w="851" w:type="dxa"/>
          </w:tcPr>
          <w:p w14:paraId="2E61BB43" w14:textId="5B766171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7659B98D" w14:textId="77C3B08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5287467A" w14:textId="77777777" w:rsidTr="00F66A0D">
        <w:trPr>
          <w:trHeight w:hRule="exact" w:val="614"/>
        </w:trPr>
        <w:tc>
          <w:tcPr>
            <w:tcW w:w="8075" w:type="dxa"/>
          </w:tcPr>
          <w:p w14:paraId="3684DB63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Ziel und Zweck des Einsatzes des jeweiligen Systems benannt</w:t>
            </w:r>
          </w:p>
        </w:tc>
        <w:tc>
          <w:tcPr>
            <w:tcW w:w="851" w:type="dxa"/>
          </w:tcPr>
          <w:p w14:paraId="21E1263B" w14:textId="3612A68C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558460ED" w14:textId="108ECE05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144957B4" w14:textId="77777777" w:rsidTr="00F66A0D">
        <w:trPr>
          <w:trHeight w:hRule="exact" w:val="632"/>
        </w:trPr>
        <w:tc>
          <w:tcPr>
            <w:tcW w:w="8075" w:type="dxa"/>
          </w:tcPr>
          <w:p w14:paraId="2AA7A31E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Grundsätze der Datenverarbeitung dargestellt</w:t>
            </w:r>
          </w:p>
        </w:tc>
        <w:tc>
          <w:tcPr>
            <w:tcW w:w="851" w:type="dxa"/>
          </w:tcPr>
          <w:p w14:paraId="7C2985D8" w14:textId="0F032B42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6000A867" w14:textId="00C53FA8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63298D50" w14:textId="77777777" w:rsidTr="00F66A0D">
        <w:trPr>
          <w:trHeight w:hRule="exact" w:val="595"/>
        </w:trPr>
        <w:tc>
          <w:tcPr>
            <w:tcW w:w="8075" w:type="dxa"/>
          </w:tcPr>
          <w:p w14:paraId="5CB65786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Grenzen im Hinblick auf Leistungs- und Verhaltenskontrolle definiert</w:t>
            </w:r>
          </w:p>
        </w:tc>
        <w:tc>
          <w:tcPr>
            <w:tcW w:w="851" w:type="dxa"/>
          </w:tcPr>
          <w:p w14:paraId="5A48A64A" w14:textId="4F8A662C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30205354" w14:textId="0D91D398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79DDC18B" w14:textId="77777777" w:rsidTr="00F66A0D">
        <w:trPr>
          <w:trHeight w:hRule="exact" w:val="511"/>
        </w:trPr>
        <w:tc>
          <w:tcPr>
            <w:tcW w:w="8075" w:type="dxa"/>
          </w:tcPr>
          <w:p w14:paraId="4C1F210F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Schnittstellen zu anderen Systemen benannt</w:t>
            </w:r>
          </w:p>
        </w:tc>
        <w:tc>
          <w:tcPr>
            <w:tcW w:w="851" w:type="dxa"/>
          </w:tcPr>
          <w:p w14:paraId="614424F9" w14:textId="7BA5763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0E4B4D36" w14:textId="60EFDE45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45EA73BF" w14:textId="77777777" w:rsidTr="00F66A0D">
        <w:trPr>
          <w:trHeight w:hRule="exact" w:val="561"/>
        </w:trPr>
        <w:tc>
          <w:tcPr>
            <w:tcW w:w="8075" w:type="dxa"/>
          </w:tcPr>
          <w:p w14:paraId="4B56E2CA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Löschkonzept und Fristen bekannt</w:t>
            </w:r>
          </w:p>
        </w:tc>
        <w:tc>
          <w:tcPr>
            <w:tcW w:w="851" w:type="dxa"/>
          </w:tcPr>
          <w:p w14:paraId="5F472B6F" w14:textId="3A9DE0F1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485A292D" w14:textId="76099BCE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07F8D265" w14:textId="77777777" w:rsidTr="00F66A0D">
        <w:trPr>
          <w:trHeight w:hRule="exact" w:val="583"/>
        </w:trPr>
        <w:tc>
          <w:tcPr>
            <w:tcW w:w="8075" w:type="dxa"/>
          </w:tcPr>
          <w:p w14:paraId="4E673C67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Kontrollrechte des Betriebsrats definiert</w:t>
            </w:r>
          </w:p>
        </w:tc>
        <w:tc>
          <w:tcPr>
            <w:tcW w:w="851" w:type="dxa"/>
          </w:tcPr>
          <w:p w14:paraId="69852956" w14:textId="6740054F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348FB3FD" w14:textId="2FC65EEF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181DC4F5" w14:textId="77777777" w:rsidTr="00F66A0D">
        <w:trPr>
          <w:trHeight w:hRule="exact" w:val="563"/>
        </w:trPr>
        <w:tc>
          <w:tcPr>
            <w:tcW w:w="8075" w:type="dxa"/>
          </w:tcPr>
          <w:p w14:paraId="6FAC2C3A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Sachverständige nach § 80 Abs. 3 BetrVG berufen</w:t>
            </w:r>
          </w:p>
        </w:tc>
        <w:tc>
          <w:tcPr>
            <w:tcW w:w="851" w:type="dxa"/>
          </w:tcPr>
          <w:p w14:paraId="3B29AE79" w14:textId="4875F222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4917261B" w14:textId="233F992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16BE1989" w14:textId="77777777" w:rsidTr="00F66A0D">
        <w:trPr>
          <w:trHeight w:hRule="exact" w:val="855"/>
        </w:trPr>
        <w:tc>
          <w:tcPr>
            <w:tcW w:w="8075" w:type="dxa"/>
          </w:tcPr>
          <w:p w14:paraId="4919BB1A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Schulungsansprüche sowohl des Betriebsrats als auch der Arbeitnehmerinnen und Arbeitnehmer festgehalten</w:t>
            </w:r>
          </w:p>
        </w:tc>
        <w:tc>
          <w:tcPr>
            <w:tcW w:w="851" w:type="dxa"/>
          </w:tcPr>
          <w:p w14:paraId="7B2BB4F3" w14:textId="7C144CD5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56C9CCAE" w14:textId="3E0F5728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3977027E" w14:textId="77777777" w:rsidTr="00F66A0D">
        <w:trPr>
          <w:trHeight w:hRule="exact" w:val="578"/>
        </w:trPr>
        <w:tc>
          <w:tcPr>
            <w:tcW w:w="8075" w:type="dxa"/>
          </w:tcPr>
          <w:p w14:paraId="15E66CF2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Verfahren bei Änderungen am System festgelegt</w:t>
            </w:r>
          </w:p>
        </w:tc>
        <w:tc>
          <w:tcPr>
            <w:tcW w:w="851" w:type="dxa"/>
          </w:tcPr>
          <w:p w14:paraId="43EE4107" w14:textId="3318F762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26417D77" w14:textId="5F5B40E1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3B8BE91F" w14:textId="77777777" w:rsidTr="00F66A0D">
        <w:trPr>
          <w:trHeight w:hRule="exact" w:val="595"/>
        </w:trPr>
        <w:tc>
          <w:tcPr>
            <w:tcW w:w="8075" w:type="dxa"/>
          </w:tcPr>
          <w:p w14:paraId="25A76175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Rechte der Arbeitnehmerinnen und Arbeitnehmer nach DSGVO benannt</w:t>
            </w:r>
          </w:p>
        </w:tc>
        <w:tc>
          <w:tcPr>
            <w:tcW w:w="851" w:type="dxa"/>
          </w:tcPr>
          <w:p w14:paraId="21529C7F" w14:textId="61F766BF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794A898D" w14:textId="4E2ABC69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354BEDA3" w14:textId="77777777" w:rsidTr="00F66A0D">
        <w:trPr>
          <w:trHeight w:hRule="exact" w:val="875"/>
        </w:trPr>
        <w:tc>
          <w:tcPr>
            <w:tcW w:w="8075" w:type="dxa"/>
          </w:tcPr>
          <w:p w14:paraId="017B30B1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r w:rsidRPr="00F66A0D">
              <w:rPr>
                <w:rFonts w:cstheme="minorHAnsi"/>
                <w:sz w:val="22"/>
                <w:szCs w:val="22"/>
              </w:rPr>
              <w:t>Klärung zum Verfahren bei Meinungsverschiedenheiten und Auseinandersetzungen festgelegt</w:t>
            </w:r>
          </w:p>
        </w:tc>
        <w:tc>
          <w:tcPr>
            <w:tcW w:w="851" w:type="dxa"/>
          </w:tcPr>
          <w:p w14:paraId="6E07B563" w14:textId="66762AE7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38C694EC" w14:textId="0EC3C32B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F66A0D" w:rsidRPr="00F66A0D" w14:paraId="68985C13" w14:textId="77777777" w:rsidTr="00F66A0D">
        <w:trPr>
          <w:trHeight w:hRule="exact" w:val="672"/>
        </w:trPr>
        <w:tc>
          <w:tcPr>
            <w:tcW w:w="8075" w:type="dxa"/>
          </w:tcPr>
          <w:p w14:paraId="3CE86021" w14:textId="77777777" w:rsidR="00F66A0D" w:rsidRPr="00F66A0D" w:rsidRDefault="00F66A0D" w:rsidP="00F66A0D">
            <w:pPr>
              <w:spacing w:beforeLines="60" w:before="144" w:afterLines="60" w:after="144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F66A0D">
              <w:rPr>
                <w:rFonts w:cstheme="minorHAnsi"/>
                <w:sz w:val="22"/>
                <w:szCs w:val="22"/>
              </w:rPr>
              <w:t>Schlussbestimmungen</w:t>
            </w:r>
            <w:proofErr w:type="spellEnd"/>
            <w:r w:rsidRPr="00F66A0D">
              <w:rPr>
                <w:rFonts w:cstheme="minorHAnsi"/>
                <w:sz w:val="22"/>
                <w:szCs w:val="22"/>
              </w:rPr>
              <w:t xml:space="preserve"> hinzugefügt</w:t>
            </w:r>
          </w:p>
        </w:tc>
        <w:tc>
          <w:tcPr>
            <w:tcW w:w="851" w:type="dxa"/>
          </w:tcPr>
          <w:p w14:paraId="39BCAAA1" w14:textId="629BAEDC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  <w:tc>
          <w:tcPr>
            <w:tcW w:w="713" w:type="dxa"/>
          </w:tcPr>
          <w:p w14:paraId="15EAB7C2" w14:textId="75AED3B3" w:rsidR="00F66A0D" w:rsidRPr="00F66A0D" w:rsidRDefault="00F66A0D" w:rsidP="00F66A0D">
            <w:pPr>
              <w:spacing w:beforeLines="60" w:before="144" w:afterLines="60" w:after="144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</w:tbl>
    <w:p w14:paraId="358A55FF" w14:textId="77777777" w:rsidR="00756670" w:rsidRPr="00F66A0D" w:rsidRDefault="00756670" w:rsidP="00F66A0D">
      <w:pPr>
        <w:rPr>
          <w:rFonts w:cstheme="minorHAnsi"/>
        </w:rPr>
      </w:pPr>
    </w:p>
    <w:sectPr w:rsidR="00756670" w:rsidRPr="00F66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85"/>
    <w:rsid w:val="001C6993"/>
    <w:rsid w:val="002D037A"/>
    <w:rsid w:val="003030CD"/>
    <w:rsid w:val="0032644E"/>
    <w:rsid w:val="003E6CA5"/>
    <w:rsid w:val="00572DD9"/>
    <w:rsid w:val="005E645B"/>
    <w:rsid w:val="00756670"/>
    <w:rsid w:val="00775985"/>
    <w:rsid w:val="0078069B"/>
    <w:rsid w:val="007C3C53"/>
    <w:rsid w:val="008A1AC2"/>
    <w:rsid w:val="009C3F35"/>
    <w:rsid w:val="00DC404A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CAA5A"/>
  <w15:chartTrackingRefBased/>
  <w15:docId w15:val="{7511AFA1-C4D3-1945-B9E0-BB81671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85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8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85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7759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8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E2847-52C3-4909-A83B-E3A1149409D5}"/>
</file>

<file path=customXml/itemProps2.xml><?xml version="1.0" encoding="utf-8"?>
<ds:datastoreItem xmlns:ds="http://schemas.openxmlformats.org/officeDocument/2006/customXml" ds:itemID="{1DE2D95E-1A0E-4CBF-B58B-0C7C4D8AFA14}"/>
</file>

<file path=customXml/itemProps3.xml><?xml version="1.0" encoding="utf-8"?>
<ds:datastoreItem xmlns:ds="http://schemas.openxmlformats.org/officeDocument/2006/customXml" ds:itemID="{5FA48869-D0D3-459D-96DB-C39288868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2026-02-09T15:40:00Z</dcterms:created>
  <dcterms:modified xsi:type="dcterms:W3CDTF">2026-02-09T15:40:00Z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