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6697" w14:textId="77777777" w:rsidR="009851E2" w:rsidRPr="009851E2" w:rsidRDefault="009851E2" w:rsidP="009851E2">
      <w:pPr>
        <w:tabs>
          <w:tab w:val="left" w:pos="280"/>
        </w:tabs>
        <w:suppressAutoHyphens/>
        <w:autoSpaceDE w:val="0"/>
        <w:autoSpaceDN w:val="0"/>
        <w:adjustRightInd w:val="0"/>
        <w:spacing w:before="170" w:after="0" w:line="260" w:lineRule="atLeast"/>
        <w:ind w:left="170"/>
        <w:textAlignment w:val="center"/>
        <w:rPr>
          <w:rFonts w:cstheme="minorHAnsi"/>
          <w:b/>
          <w:bCs/>
          <w:color w:val="000000" w:themeColor="text1"/>
          <w:kern w:val="0"/>
        </w:rPr>
      </w:pPr>
      <w:r w:rsidRPr="009851E2">
        <w:rPr>
          <w:rFonts w:cstheme="minorHAnsi"/>
          <w:b/>
          <w:bCs/>
          <w:color w:val="000000" w:themeColor="text1"/>
          <w:kern w:val="0"/>
          <w:sz w:val="28"/>
          <w:szCs w:val="28"/>
        </w:rPr>
        <w:t>Dienstvereinbarung: Leistungsentgelt – dreistufiges Bewertungssystem</w:t>
      </w:r>
    </w:p>
    <w:p w14:paraId="42829D99"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2DE99668" w14:textId="5A3F1E84"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Zwischen der Dienststellenleitung – vertreten durch … – und dem Personalrat oder der Mitarbeitervertretung – vertreten durch den/die Vorsitzende/n … – wird die folgende Dienstvereinbarung zum Leistungsentgelt geschlossen: </w:t>
      </w:r>
    </w:p>
    <w:p w14:paraId="463F44C7"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753BEEAB" w14:textId="4C507903"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Präambel</w:t>
      </w:r>
    </w:p>
    <w:p w14:paraId="173FFCA0"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Ziele des Leistungsentgelts in Form der Leistungsprämie sind:</w:t>
      </w:r>
    </w:p>
    <w:p w14:paraId="0CCB4C30"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die Verbesserung der öffentlichen Dienstleistungen</w:t>
      </w:r>
    </w:p>
    <w:p w14:paraId="6E367A8B"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die Stärkung von Motivation und Eigenverantwortung der Beschäftigten</w:t>
      </w:r>
    </w:p>
    <w:p w14:paraId="3B080DAC"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die Förderung der Kompetenz von Führungskräften</w:t>
      </w:r>
    </w:p>
    <w:p w14:paraId="6631BE96"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3F015DF8" w14:textId="043E5439"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1 Geltungsbereich</w:t>
      </w:r>
    </w:p>
    <w:p w14:paraId="327ECECF"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Die Dienstvereinbarung gilt für die Tarifbeschäftigten der Dienststelle, die unter den Geltungsbereich des TVöD fallen. </w:t>
      </w:r>
    </w:p>
    <w:p w14:paraId="56FC276C"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45D09B43" w14:textId="5BCCB301"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2 Bildung des Leistungsbudgets</w:t>
      </w:r>
    </w:p>
    <w:p w14:paraId="6EE13ECA"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In den Jahren … wird einheitlich ein Prozent der Bruttovorjahresentgelte der Tarifbeschäftigten der Dienststelle in das Leistungsbezahlungsbudget eingestellt.</w:t>
      </w:r>
    </w:p>
    <w:p w14:paraId="511975B0"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5232C956" w14:textId="22812FF4"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3 Verteilung des Leistungsbudgets</w:t>
      </w:r>
    </w:p>
    <w:p w14:paraId="0162CF1F"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Das Leistungsbudget wird ausschließlich für die Zahlung des Leistungsentgelts in Form von Leistungsprämien gemäß dieser Vereinbarung verwendet. Das Gesamtvolumen soll jährlich vollständig ausgeschüttet werden. Wird es das nicht, wird der verbleibende Betrag in das Budget des nächsten Jahres eingestellt. Die Verteilung des Budgets erfolgt nach einem Punktebewertungsverfahren. Für jeden Beschäftigten wird ein pro Punkt ermittelter Geldwert mit seinem tatsächlich individuell erreichten Punktwert oder mit dem von seiner Gruppe erreichten Punktwert multipliziert. Die paritätische Kommission überprüft am Jahresende, ob es zu einer Begünstigung einzelner Beschäftigter kam.</w:t>
      </w:r>
    </w:p>
    <w:p w14:paraId="0DA5DCD3"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46B09ACC" w14:textId="58C4B6CE"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4 Sozialversicherung</w:t>
      </w:r>
    </w:p>
    <w:p w14:paraId="002F6958"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Die mit der Zahlung der Leistungsprämie, der Ausschüttung des Budgets oder der Leistungspauschale verbundenen Aufwendungen des/der Arbeitgebenden zur Sozialversicherung oder Altersversorgung trägt die Dienststelle. </w:t>
      </w:r>
    </w:p>
    <w:p w14:paraId="5B28BEBD"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35E8FCC2" w14:textId="2F1531EB"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5 Grundsätze zur Bestimmung von Leistung</w:t>
      </w:r>
    </w:p>
    <w:p w14:paraId="46356343"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Zwingende Grundsätze bei der Einführung von Leistungsentgelten sind:</w:t>
      </w:r>
    </w:p>
    <w:p w14:paraId="092DDFD4"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Die Leistungen sind in der regelmäßigen Arbeitszeit zu erbringen.,</w:t>
      </w:r>
    </w:p>
    <w:p w14:paraId="3FF07D5D"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 xml:space="preserve">Die Leistungsergebnisse müssen durch die Beschäftigten </w:t>
      </w:r>
      <w:proofErr w:type="spellStart"/>
      <w:r w:rsidRPr="009851E2">
        <w:rPr>
          <w:rFonts w:cstheme="minorHAnsi"/>
          <w:color w:val="000000" w:themeColor="text1"/>
          <w:kern w:val="0"/>
          <w:sz w:val="22"/>
          <w:szCs w:val="22"/>
        </w:rPr>
        <w:t>beeinflussbar</w:t>
      </w:r>
      <w:proofErr w:type="spellEnd"/>
      <w:r w:rsidRPr="009851E2">
        <w:rPr>
          <w:rFonts w:cstheme="minorHAnsi"/>
          <w:color w:val="000000" w:themeColor="text1"/>
          <w:kern w:val="0"/>
          <w:sz w:val="22"/>
          <w:szCs w:val="22"/>
        </w:rPr>
        <w:t xml:space="preserve"> und erreichbar sein.</w:t>
      </w:r>
    </w:p>
    <w:p w14:paraId="08063F37"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Bei der Vereinbarung und Feststellung von Leistung sind die individuellen Voraussetzungen der Beschäftigten (z. B. Leistungsminderung, Schwerbehinderung) entsprechend zu berücksichtigen.</w:t>
      </w:r>
    </w:p>
    <w:p w14:paraId="72B3E011"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Die Leistungssysteme müssen diskriminierungsfrei gestaltet sein.</w:t>
      </w:r>
    </w:p>
    <w:p w14:paraId="79A7EA21"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Die Leistungsentgelte können auch für Teams bzw. Arbeitsgruppen vereinbart werden.</w:t>
      </w:r>
    </w:p>
    <w:p w14:paraId="01BD2933"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0FF81BD0"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215E2B34"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4DEEC2C8"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0714C6A0"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085D37BA"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67EB10BD"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2CCAD4D2"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39CDDADE" w14:textId="3FEE1C92"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lastRenderedPageBreak/>
        <w:t>§ 6 Zielvereinbarung</w:t>
      </w:r>
    </w:p>
    <w:p w14:paraId="29523943" w14:textId="242D40E3"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Allen Beschäftigten ist der </w:t>
      </w:r>
      <w:proofErr w:type="spellStart"/>
      <w:r w:rsidRPr="009851E2">
        <w:rPr>
          <w:rFonts w:cstheme="minorHAnsi"/>
          <w:color w:val="000000" w:themeColor="text1"/>
          <w:kern w:val="0"/>
          <w:sz w:val="22"/>
          <w:szCs w:val="22"/>
        </w:rPr>
        <w:t>Abschluss</w:t>
      </w:r>
      <w:proofErr w:type="spellEnd"/>
      <w:r w:rsidRPr="009851E2">
        <w:rPr>
          <w:rFonts w:cstheme="minorHAnsi"/>
          <w:color w:val="000000" w:themeColor="text1"/>
          <w:kern w:val="0"/>
          <w:sz w:val="22"/>
          <w:szCs w:val="22"/>
        </w:rPr>
        <w:t xml:space="preserve"> einer Zielvereinbarung zu ermöglichen. Der </w:t>
      </w:r>
      <w:proofErr w:type="spellStart"/>
      <w:r w:rsidRPr="009851E2">
        <w:rPr>
          <w:rFonts w:cstheme="minorHAnsi"/>
          <w:color w:val="000000" w:themeColor="text1"/>
          <w:kern w:val="0"/>
          <w:sz w:val="22"/>
          <w:szCs w:val="22"/>
        </w:rPr>
        <w:t>Abschluss</w:t>
      </w:r>
      <w:proofErr w:type="spellEnd"/>
      <w:r w:rsidRPr="009851E2">
        <w:rPr>
          <w:rFonts w:cstheme="minorHAnsi"/>
          <w:color w:val="000000" w:themeColor="text1"/>
          <w:kern w:val="0"/>
          <w:sz w:val="22"/>
          <w:szCs w:val="22"/>
        </w:rPr>
        <w:t xml:space="preserve"> einer Zielvereinbarung ist freiwillig, sie berührt nicht den Arbeitsvertrag. Der/die Beschäftigte oder das Team ist gleichberechtigte/r Verhandlungspartner/in. Kann zwischen der direkten Führungskraft und dem/der Beschäftigten kein Einvernehmen über eine Zielvereinbarung erreicht werden, kommt eine Zielvereinbarung nicht zustande. Es können bis zu fünf Ziele vereinbart werden, mit folgenden Zielerreichungsgraden:</w:t>
      </w:r>
    </w:p>
    <w:p w14:paraId="5BA34BAA"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526B852C"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1: volle Zielerreichung</w:t>
      </w:r>
    </w:p>
    <w:p w14:paraId="01E0CDEB"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2: überwiegende Zielerreichung</w:t>
      </w:r>
    </w:p>
    <w:p w14:paraId="28485730"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3: Zielerreichung verfehlt</w:t>
      </w:r>
    </w:p>
    <w:p w14:paraId="2174EC8C" w14:textId="77777777"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7A45835C" w14:textId="229AA33C"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Die zu vereinbarende Ziele müssen realistisch, </w:t>
      </w:r>
      <w:proofErr w:type="spellStart"/>
      <w:r w:rsidRPr="009851E2">
        <w:rPr>
          <w:rFonts w:cstheme="minorHAnsi"/>
          <w:color w:val="000000" w:themeColor="text1"/>
          <w:kern w:val="0"/>
          <w:sz w:val="22"/>
          <w:szCs w:val="22"/>
        </w:rPr>
        <w:t>beeinflussbar</w:t>
      </w:r>
      <w:proofErr w:type="spellEnd"/>
      <w:r w:rsidRPr="009851E2">
        <w:rPr>
          <w:rFonts w:cstheme="minorHAnsi"/>
          <w:color w:val="000000" w:themeColor="text1"/>
          <w:kern w:val="0"/>
          <w:sz w:val="22"/>
          <w:szCs w:val="22"/>
        </w:rPr>
        <w:t xml:space="preserve"> und präzise beschrieben sein. Sie müssen gesundheitlich zumutbar und in der jeweiligen durchschnittlichen wöchentlichen Arbeitszeit zu erreichen sein. Es kann sich sowohl um qualitative als auch um quantitative Ziele handeln.</w:t>
      </w:r>
    </w:p>
    <w:p w14:paraId="22022D9B" w14:textId="77777777"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57CD56BC" w14:textId="1DA36FBB"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Treten Ereignisse ein, die eine Zielerreichung ganz oder teilweise unmöglich machen und von den Beschäftigten nicht zu vertreten sind, ist das Leistungsziel neu zu bestimmen. Alternativ kann die bisher erreichte Leistung bewertet und ein entsprechendes Leistungsentgelt bezahlt werden.</w:t>
      </w:r>
    </w:p>
    <w:p w14:paraId="7B853CF1" w14:textId="77777777"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Die Bewertung der vereinbarten Ziele erfolgt mittels eines Punktesystems. Dabei sind dem durchschnittlichen Zielerreichungsgrad folgende Punktzahlen zugeordnet:</w:t>
      </w:r>
    </w:p>
    <w:p w14:paraId="2FCA0DE1"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417FD0CD"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 xml:space="preserve">Stufe 1: 2 </w:t>
      </w:r>
    </w:p>
    <w:p w14:paraId="5F7A2DD9"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 xml:space="preserve">Stufe 2: 1 </w:t>
      </w:r>
    </w:p>
    <w:p w14:paraId="6D3DD4D1"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3: 0</w:t>
      </w:r>
    </w:p>
    <w:p w14:paraId="48F35FE3" w14:textId="77777777"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781A40D8" w14:textId="75834B79"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Rechnerische Bruchteile sind ab 0,50 nach oben auf eine volle Zahl zu runden, bis 0,49 abzurunden. Nach der in der Zielvereinbarung festgelegten Laufzeit findet ein Zielerreichungsgespräch statt. Gegenstand dieses Gesprächs ist die Feststellung der Ziel­erreichung und der damit erreichten Punkte. Sofern im Ziel­erreichungsgespräch kein Einvernehmen über einzelne Ziel­erreichungsgrade oder den durchschnittlichen Zielerreichungsgrad erzielt wird, kann sich der/die Beschäftigte schriftlich bei der Paritätischen Kommission (§ 11) beschweren. Die Rechte des Personalrats bleiben hiervon unberührt.</w:t>
      </w:r>
    </w:p>
    <w:p w14:paraId="56D1D2F1"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2236A677" w14:textId="3C4FA74C"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7 Systematische Leistungsbewertung</w:t>
      </w:r>
    </w:p>
    <w:p w14:paraId="259CF0C8" w14:textId="77777777"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Systematische Leistungsbewertung ist die auf einem festgelegten System beruhende Feststellung der erbrachten Leistung nach </w:t>
      </w:r>
      <w:proofErr w:type="spellStart"/>
      <w:r w:rsidRPr="009851E2">
        <w:rPr>
          <w:rFonts w:cstheme="minorHAnsi"/>
          <w:color w:val="000000" w:themeColor="text1"/>
          <w:kern w:val="0"/>
          <w:sz w:val="22"/>
          <w:szCs w:val="22"/>
        </w:rPr>
        <w:t>messbaren</w:t>
      </w:r>
      <w:proofErr w:type="spellEnd"/>
      <w:r w:rsidRPr="009851E2">
        <w:rPr>
          <w:rFonts w:cstheme="minorHAnsi"/>
          <w:color w:val="000000" w:themeColor="text1"/>
          <w:kern w:val="0"/>
          <w:sz w:val="22"/>
          <w:szCs w:val="22"/>
        </w:rPr>
        <w:t xml:space="preserve"> oder objektivierbaren Kriterien. Es wird ein dreistufiges Bewertungssystem nach dem folgenden Schema vereinbart:</w:t>
      </w:r>
    </w:p>
    <w:p w14:paraId="439112ED"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10CE026C"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I: eine die Anforderungen übertreffende Leistung</w:t>
      </w:r>
    </w:p>
    <w:p w14:paraId="4A3FB3F0"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II: eine den Anforderungen entsprechende Leistung</w:t>
      </w:r>
    </w:p>
    <w:p w14:paraId="08E6DBB4"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III: eine den Anforderungen nicht entsprechende Leistung</w:t>
      </w:r>
    </w:p>
    <w:p w14:paraId="047512A1" w14:textId="77777777"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1B872FE1" w14:textId="461A928D"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Die Bewertung erfolgt nach den folgenden Kriterien:</w:t>
      </w:r>
    </w:p>
    <w:p w14:paraId="3C0FD2E6"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2C449A04"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Arbeitsqualität</w:t>
      </w:r>
    </w:p>
    <w:p w14:paraId="5ED545AC"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Arbeitsquantität</w:t>
      </w:r>
    </w:p>
    <w:p w14:paraId="36DEB67F"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Adressatenorientierung</w:t>
      </w:r>
    </w:p>
    <w:p w14:paraId="190BE5E7"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Wirtschaftlichkeit</w:t>
      </w:r>
    </w:p>
    <w:p w14:paraId="787F987F"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Zusammenarbeit</w:t>
      </w:r>
    </w:p>
    <w:p w14:paraId="520A2836"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sowie bei Führungskräften: Führungsverhalten</w:t>
      </w:r>
    </w:p>
    <w:p w14:paraId="6AB584FE"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lastRenderedPageBreak/>
        <w:t>Für jedes Kriterium ist die erreichte Leistungsstufe festzulegen. Aus den Einzelergebnissen ist die durchschnittliche individuelle Leistungsstufe zu ermitteln, die für die Leistungsbewertung ausschlaggebend ist.</w:t>
      </w:r>
    </w:p>
    <w:p w14:paraId="492B34A5" w14:textId="77777777"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50BBFB42" w14:textId="1A585114"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Den Leistungsstufen werden folgende Punktwerte zugeordnet:</w:t>
      </w:r>
    </w:p>
    <w:p w14:paraId="329F268D"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56A2FDE6"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I: 2</w:t>
      </w:r>
    </w:p>
    <w:p w14:paraId="45F3421C"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II: 1</w:t>
      </w:r>
    </w:p>
    <w:p w14:paraId="203C190C"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Stufe III: 0</w:t>
      </w:r>
    </w:p>
    <w:p w14:paraId="051D3F8D" w14:textId="77777777" w:rsidR="009851E2" w:rsidRDefault="009851E2" w:rsidP="009851E2">
      <w:pPr>
        <w:autoSpaceDE w:val="0"/>
        <w:autoSpaceDN w:val="0"/>
        <w:adjustRightInd w:val="0"/>
        <w:spacing w:after="0" w:line="260" w:lineRule="atLeast"/>
        <w:ind w:left="454" w:right="170" w:hanging="283"/>
        <w:textAlignment w:val="center"/>
        <w:rPr>
          <w:rFonts w:cstheme="minorHAnsi"/>
          <w:b/>
          <w:bCs/>
          <w:color w:val="000000" w:themeColor="text1"/>
          <w:kern w:val="0"/>
          <w:sz w:val="22"/>
          <w:szCs w:val="22"/>
        </w:rPr>
      </w:pPr>
    </w:p>
    <w:p w14:paraId="3C9991EA" w14:textId="4A965A91" w:rsidR="009851E2" w:rsidRPr="009851E2" w:rsidRDefault="009851E2" w:rsidP="009851E2">
      <w:pPr>
        <w:autoSpaceDE w:val="0"/>
        <w:autoSpaceDN w:val="0"/>
        <w:adjustRightInd w:val="0"/>
        <w:spacing w:after="0" w:line="260" w:lineRule="atLeast"/>
        <w:ind w:left="454" w:right="170" w:hanging="283"/>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xml:space="preserve">§ 8 </w:t>
      </w:r>
      <w:r w:rsidRPr="009851E2">
        <w:rPr>
          <w:rFonts w:cstheme="minorHAnsi"/>
          <w:b/>
          <w:bCs/>
          <w:color w:val="000000" w:themeColor="text1"/>
          <w:kern w:val="0"/>
          <w:sz w:val="22"/>
          <w:szCs w:val="22"/>
        </w:rPr>
        <w:tab/>
        <w:t>Verbindung von Zielvereinbarung und systematischer Leistungsbewertung</w:t>
      </w:r>
    </w:p>
    <w:p w14:paraId="6A7F8C75"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Bei Verbindung der Instrumente werden die Ergebnisse entsprechend dem in der jeweiligen Zielvereinbarung festgelegten Anteil </w:t>
      </w:r>
      <w:proofErr w:type="spellStart"/>
      <w:r w:rsidRPr="009851E2">
        <w:rPr>
          <w:rFonts w:cstheme="minorHAnsi"/>
          <w:color w:val="000000" w:themeColor="text1"/>
          <w:kern w:val="0"/>
          <w:sz w:val="22"/>
          <w:szCs w:val="22"/>
        </w:rPr>
        <w:t>zusammengefasst</w:t>
      </w:r>
      <w:proofErr w:type="spellEnd"/>
      <w:r w:rsidRPr="009851E2">
        <w:rPr>
          <w:rFonts w:cstheme="minorHAnsi"/>
          <w:color w:val="000000" w:themeColor="text1"/>
          <w:kern w:val="0"/>
          <w:sz w:val="22"/>
          <w:szCs w:val="22"/>
        </w:rPr>
        <w:t>.</w:t>
      </w:r>
    </w:p>
    <w:p w14:paraId="17C7E6B0"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3A3C4529" w14:textId="4E1BB3A7"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9 Bewertung und Auszahlung der Leistungsentgelte</w:t>
      </w:r>
    </w:p>
    <w:p w14:paraId="35361BDF"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Nach </w:t>
      </w:r>
      <w:proofErr w:type="spellStart"/>
      <w:r w:rsidRPr="009851E2">
        <w:rPr>
          <w:rFonts w:cstheme="minorHAnsi"/>
          <w:color w:val="000000" w:themeColor="text1"/>
          <w:kern w:val="0"/>
          <w:sz w:val="22"/>
          <w:szCs w:val="22"/>
        </w:rPr>
        <w:t>Abschluss</w:t>
      </w:r>
      <w:proofErr w:type="spellEnd"/>
      <w:r w:rsidRPr="009851E2">
        <w:rPr>
          <w:rFonts w:cstheme="minorHAnsi"/>
          <w:color w:val="000000" w:themeColor="text1"/>
          <w:kern w:val="0"/>
          <w:sz w:val="22"/>
          <w:szCs w:val="22"/>
        </w:rPr>
        <w:t xml:space="preserve"> der Bewertungsperiode werden alle Gesamtpunktwerte der Beschäftigten der Dienststelle zusammengezählt. Aus der Division „Budgetvolumen geteilt durch Anzahl der erreichten Punkte“ errechnet sich der Euro-Wert eines Punktes. Dieser Punktwert wird mit der Anzahl der jeweils individuell erreichten Punkte multipliziert und ergibt die Höhe der individuell zur Auszahlung kommenden Leistungsprämie. Bei Gruppen ist der für die Gruppe ermittelte Gesamtpunktwert durch die Anzahl der Gruppenmitglieder zu teilen, um den individuellen Punktwert eines Gruppenmitglieds zu erhalten.</w:t>
      </w:r>
    </w:p>
    <w:p w14:paraId="1EABBF26"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77D81C04" w14:textId="6AE99952"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10 Zeitliche Festlegungen</w:t>
      </w:r>
    </w:p>
    <w:p w14:paraId="165962C5"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38B7B5C5"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Leistungszeitraum: Der erste Leistungszeitraum wird für die Monate Juli … bis .... festgelegt.</w:t>
      </w:r>
    </w:p>
    <w:p w14:paraId="7AC52B31"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Die folgenden Zeiträume betragen jeweils ... Kalendermonate.</w:t>
      </w:r>
    </w:p>
    <w:p w14:paraId="7916F4D4"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Feststellungszeitpunkt für die individuelle Höhe der Prämie ist jeweils drei Monate nach Ende des Leistungszeitraums.</w:t>
      </w:r>
    </w:p>
    <w:p w14:paraId="00BB56CA"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Die Auszahlung erfolgt jeweils mit den Bezügen für ...</w:t>
      </w:r>
    </w:p>
    <w:p w14:paraId="11045CC6"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2DFD3AE8" w14:textId="3DD0DEE9"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11 Rechte und Information des Personalrats</w:t>
      </w:r>
    </w:p>
    <w:p w14:paraId="66C9A09C"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Bis spätestens 31.03. des laufenden Jahres erhält der Personalrat eine Aufstellung über das Leistungsentgeltvolumen sowie eine kumulierte Aufstellung nach den einzelnen Entgeltarten (wie etwa Monatstabellenentgelt, Zulagen, Besitzstandszulagen) sowie </w:t>
      </w:r>
      <w:proofErr w:type="spellStart"/>
      <w:r w:rsidRPr="009851E2">
        <w:rPr>
          <w:rFonts w:cstheme="minorHAnsi"/>
          <w:color w:val="000000" w:themeColor="text1"/>
          <w:kern w:val="0"/>
          <w:sz w:val="22"/>
          <w:szCs w:val="22"/>
        </w:rPr>
        <w:t>Überschussbeträge</w:t>
      </w:r>
      <w:proofErr w:type="spellEnd"/>
      <w:r w:rsidRPr="009851E2">
        <w:rPr>
          <w:rFonts w:cstheme="minorHAnsi"/>
          <w:color w:val="000000" w:themeColor="text1"/>
          <w:kern w:val="0"/>
          <w:sz w:val="22"/>
          <w:szCs w:val="22"/>
        </w:rPr>
        <w:t xml:space="preserve"> aus dem Vorjahr. Spätestens drei Monate nach dem Ende eines Leistungszeitraums wird der Personalrat detailliert und anhand von schriftlichen Unterlagen über die Verteilung des Leistungsentgelts im vorangegangenen Jahr unterrichtet. </w:t>
      </w:r>
    </w:p>
    <w:p w14:paraId="7F18023D"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60236D34" w14:textId="6F67E062"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12 Paritätische Kommission</w:t>
      </w:r>
    </w:p>
    <w:p w14:paraId="4A215508" w14:textId="77777777" w:rsid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Die paritätische Kommission wird durch Dienststelle und Personalrat mit jeweils drei Vertretern besetzt. Die Aufgaben der paritätischen Kommission sind:</w:t>
      </w:r>
    </w:p>
    <w:p w14:paraId="6426ECE4"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p>
    <w:p w14:paraId="7BC7F862" w14:textId="77777777" w:rsidR="009851E2" w:rsidRPr="009851E2" w:rsidRDefault="009851E2" w:rsidP="009851E2">
      <w:pPr>
        <w:autoSpaceDE w:val="0"/>
        <w:autoSpaceDN w:val="0"/>
        <w:adjustRightInd w:val="0"/>
        <w:spacing w:after="0" w:line="260" w:lineRule="atLeast"/>
        <w:ind w:left="737" w:right="170" w:hanging="283"/>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 xml:space="preserve">Entwicklung und ständiges Controlling des betrieblichen </w:t>
      </w:r>
      <w:r w:rsidRPr="009851E2">
        <w:rPr>
          <w:rFonts w:cstheme="minorHAnsi"/>
          <w:color w:val="000000" w:themeColor="text1"/>
          <w:kern w:val="0"/>
          <w:sz w:val="22"/>
          <w:szCs w:val="22"/>
        </w:rPr>
        <w:br/>
        <w:t>Systems</w:t>
      </w:r>
    </w:p>
    <w:p w14:paraId="4190B7B2"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spacing w:val="-2"/>
          <w:kern w:val="0"/>
          <w:sz w:val="22"/>
          <w:szCs w:val="22"/>
        </w:rPr>
      </w:pPr>
      <w:r w:rsidRPr="009851E2">
        <w:rPr>
          <w:rFonts w:cstheme="minorHAnsi"/>
          <w:color w:val="000000" w:themeColor="text1"/>
          <w:spacing w:val="-2"/>
          <w:kern w:val="0"/>
          <w:sz w:val="22"/>
          <w:szCs w:val="22"/>
        </w:rPr>
        <w:t>•</w:t>
      </w:r>
      <w:r w:rsidRPr="009851E2">
        <w:rPr>
          <w:rFonts w:cstheme="minorHAnsi"/>
          <w:color w:val="000000" w:themeColor="text1"/>
          <w:spacing w:val="-2"/>
          <w:kern w:val="0"/>
          <w:sz w:val="22"/>
          <w:szCs w:val="22"/>
        </w:rPr>
        <w:tab/>
        <w:t>Erarbeitung von Empfehlungen an die Betriebsparteien für notwendige Korrekturen des Systems bzw. Systembestandteile</w:t>
      </w:r>
    </w:p>
    <w:p w14:paraId="67E3F750" w14:textId="77777777" w:rsidR="009851E2" w:rsidRPr="009851E2" w:rsidRDefault="009851E2" w:rsidP="009851E2">
      <w:pPr>
        <w:autoSpaceDE w:val="0"/>
        <w:autoSpaceDN w:val="0"/>
        <w:adjustRightInd w:val="0"/>
        <w:spacing w:after="0" w:line="260" w:lineRule="atLeast"/>
        <w:ind w:left="737" w:right="170" w:hanging="283"/>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w:t>
      </w:r>
      <w:r w:rsidRPr="009851E2">
        <w:rPr>
          <w:rFonts w:cstheme="minorHAnsi"/>
          <w:color w:val="000000" w:themeColor="text1"/>
          <w:kern w:val="0"/>
          <w:sz w:val="22"/>
          <w:szCs w:val="22"/>
        </w:rPr>
        <w:tab/>
        <w:t>Beratung über schriftlich eingereichte Beschwerden, die sich auf Mängel des Systems bzw. seine Anwendung beziehen</w:t>
      </w:r>
    </w:p>
    <w:p w14:paraId="0101CEA7"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6D3E7C82"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323AAA8E"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1CF1FEA9"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2F939520" w14:textId="1140E0EE"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lastRenderedPageBreak/>
        <w:t>§ 13 Datenschutz</w:t>
      </w:r>
    </w:p>
    <w:p w14:paraId="4BCCB707"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Alle gesetzlichen Bestimmungen zum Datenschutz werden in Absprache mit der/dem betrieblichen Datenschutzbeauftragten eingehalten.</w:t>
      </w:r>
    </w:p>
    <w:p w14:paraId="608C5814"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07966F8C" w14:textId="3D618086"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14 Rechte und Information der Beschäftigten</w:t>
      </w:r>
    </w:p>
    <w:p w14:paraId="314205D5"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Die Beschäftigten werden durch Schulungen, Workshops und/oder Informationsveranstaltungen mit dieser Dienstvereinbarung und dem vereinbarten System der Leistungsbewertung vertraut gemacht. Von allen Unterlagen (Dienstvereinbarung mit Anlagen sowie alle persönlichen Dokumente) erhalten die jeweils betroffenen Beschäftigten eine Kopie. Sie haben das Recht, sich bei der paritätischen Kommission schriftlich über Mängel des Systems bzw. seiner betrieblichen Anwendung zu beschweren. </w:t>
      </w:r>
    </w:p>
    <w:p w14:paraId="5E42DE31" w14:textId="77777777" w:rsid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p>
    <w:p w14:paraId="4CE68A27" w14:textId="031BD83A" w:rsidR="009851E2" w:rsidRPr="009851E2" w:rsidRDefault="009851E2" w:rsidP="009851E2">
      <w:pPr>
        <w:autoSpaceDE w:val="0"/>
        <w:autoSpaceDN w:val="0"/>
        <w:adjustRightInd w:val="0"/>
        <w:spacing w:after="0" w:line="260" w:lineRule="atLeast"/>
        <w:ind w:left="170" w:right="170"/>
        <w:jc w:val="both"/>
        <w:textAlignment w:val="center"/>
        <w:rPr>
          <w:rFonts w:cstheme="minorHAnsi"/>
          <w:b/>
          <w:bCs/>
          <w:color w:val="000000" w:themeColor="text1"/>
          <w:kern w:val="0"/>
          <w:sz w:val="22"/>
          <w:szCs w:val="22"/>
        </w:rPr>
      </w:pPr>
      <w:r w:rsidRPr="009851E2">
        <w:rPr>
          <w:rFonts w:cstheme="minorHAnsi"/>
          <w:b/>
          <w:bCs/>
          <w:color w:val="000000" w:themeColor="text1"/>
          <w:kern w:val="0"/>
          <w:sz w:val="22"/>
          <w:szCs w:val="22"/>
        </w:rPr>
        <w:t>§ 15 Inkrafttreten</w:t>
      </w:r>
    </w:p>
    <w:p w14:paraId="434EE8D6" w14:textId="77777777" w:rsidR="009851E2" w:rsidRPr="009851E2" w:rsidRDefault="009851E2" w:rsidP="009851E2">
      <w:pPr>
        <w:autoSpaceDE w:val="0"/>
        <w:autoSpaceDN w:val="0"/>
        <w:adjustRightInd w:val="0"/>
        <w:spacing w:after="0" w:line="260" w:lineRule="atLeast"/>
        <w:ind w:left="170" w:right="170"/>
        <w:jc w:val="both"/>
        <w:textAlignment w:val="center"/>
        <w:rPr>
          <w:rFonts w:cstheme="minorHAnsi"/>
          <w:color w:val="000000" w:themeColor="text1"/>
          <w:kern w:val="0"/>
          <w:sz w:val="22"/>
          <w:szCs w:val="22"/>
        </w:rPr>
      </w:pPr>
      <w:r w:rsidRPr="009851E2">
        <w:rPr>
          <w:rFonts w:cstheme="minorHAnsi"/>
          <w:color w:val="000000" w:themeColor="text1"/>
          <w:kern w:val="0"/>
          <w:sz w:val="22"/>
          <w:szCs w:val="22"/>
        </w:rPr>
        <w:t xml:space="preserve">Diese Dienstvereinbarung tritt am … in Kraft. Sie ist befristet bis zum ... Darüber hinaus wird die Nachwirkung ausgeschlossen. Spätestens drei Monate vor Ablauf der Befristung verhandeln Dienststelle und Personalrat über eine einvernehmliche Fortsetzung und/oder Veränderung dieser Vereinbarung. </w:t>
      </w:r>
    </w:p>
    <w:p w14:paraId="77A84364" w14:textId="77777777" w:rsidR="009851E2" w:rsidRDefault="009851E2" w:rsidP="009851E2">
      <w:pPr>
        <w:autoSpaceDE w:val="0"/>
        <w:autoSpaceDN w:val="0"/>
        <w:adjustRightInd w:val="0"/>
        <w:spacing w:after="0" w:line="260" w:lineRule="atLeast"/>
        <w:ind w:left="170" w:right="170"/>
        <w:textAlignment w:val="center"/>
        <w:rPr>
          <w:rFonts w:cstheme="minorHAnsi"/>
          <w:color w:val="000000" w:themeColor="text1"/>
          <w:kern w:val="0"/>
          <w:sz w:val="22"/>
          <w:szCs w:val="22"/>
        </w:rPr>
      </w:pPr>
    </w:p>
    <w:p w14:paraId="436A2F9F" w14:textId="77777777" w:rsidR="009851E2" w:rsidRDefault="009851E2" w:rsidP="009851E2">
      <w:pPr>
        <w:autoSpaceDE w:val="0"/>
        <w:autoSpaceDN w:val="0"/>
        <w:adjustRightInd w:val="0"/>
        <w:spacing w:after="0" w:line="260" w:lineRule="atLeast"/>
        <w:ind w:left="170" w:right="170"/>
        <w:textAlignment w:val="center"/>
        <w:rPr>
          <w:rFonts w:cstheme="minorHAnsi"/>
          <w:color w:val="000000" w:themeColor="text1"/>
          <w:kern w:val="0"/>
          <w:sz w:val="22"/>
          <w:szCs w:val="22"/>
        </w:rPr>
      </w:pPr>
    </w:p>
    <w:p w14:paraId="04949C3A" w14:textId="77777777" w:rsidR="009851E2" w:rsidRDefault="009851E2" w:rsidP="009851E2">
      <w:pPr>
        <w:autoSpaceDE w:val="0"/>
        <w:autoSpaceDN w:val="0"/>
        <w:adjustRightInd w:val="0"/>
        <w:spacing w:after="0" w:line="260" w:lineRule="atLeast"/>
        <w:ind w:left="170" w:right="170"/>
        <w:textAlignment w:val="center"/>
        <w:rPr>
          <w:rFonts w:cstheme="minorHAnsi"/>
          <w:color w:val="000000" w:themeColor="text1"/>
          <w:kern w:val="0"/>
          <w:sz w:val="22"/>
          <w:szCs w:val="22"/>
        </w:rPr>
      </w:pPr>
      <w:r>
        <w:rPr>
          <w:rFonts w:cstheme="minorHAnsi"/>
          <w:color w:val="000000" w:themeColor="text1"/>
          <w:kern w:val="0"/>
          <w:sz w:val="22"/>
          <w:szCs w:val="22"/>
        </w:rPr>
        <w:t>_______________</w:t>
      </w:r>
      <w:r>
        <w:rPr>
          <w:rFonts w:cstheme="minorHAnsi"/>
          <w:color w:val="000000" w:themeColor="text1"/>
          <w:kern w:val="0"/>
          <w:sz w:val="22"/>
          <w:szCs w:val="22"/>
        </w:rPr>
        <w:br/>
      </w:r>
      <w:r w:rsidRPr="009851E2">
        <w:rPr>
          <w:rFonts w:cstheme="minorHAnsi"/>
          <w:color w:val="000000" w:themeColor="text1"/>
          <w:kern w:val="0"/>
          <w:sz w:val="22"/>
          <w:szCs w:val="22"/>
        </w:rPr>
        <w:t>Ort, Datum</w:t>
      </w:r>
      <w:r w:rsidRPr="009851E2">
        <w:rPr>
          <w:rFonts w:cstheme="minorHAnsi"/>
          <w:color w:val="000000" w:themeColor="text1"/>
          <w:kern w:val="0"/>
          <w:sz w:val="22"/>
          <w:szCs w:val="22"/>
        </w:rPr>
        <w:br/>
      </w:r>
    </w:p>
    <w:p w14:paraId="45473E72" w14:textId="71185CFE" w:rsidR="009851E2" w:rsidRPr="009851E2" w:rsidRDefault="009851E2" w:rsidP="009851E2">
      <w:pPr>
        <w:autoSpaceDE w:val="0"/>
        <w:autoSpaceDN w:val="0"/>
        <w:adjustRightInd w:val="0"/>
        <w:spacing w:after="0" w:line="260" w:lineRule="atLeast"/>
        <w:ind w:left="170" w:right="170"/>
        <w:textAlignment w:val="center"/>
        <w:rPr>
          <w:rFonts w:cstheme="minorHAnsi"/>
          <w:color w:val="000000" w:themeColor="text1"/>
          <w:kern w:val="0"/>
          <w:sz w:val="22"/>
          <w:szCs w:val="22"/>
        </w:rPr>
      </w:pPr>
      <w:r>
        <w:rPr>
          <w:rFonts w:cstheme="minorHAnsi"/>
          <w:color w:val="000000" w:themeColor="text1"/>
          <w:kern w:val="0"/>
          <w:sz w:val="22"/>
          <w:szCs w:val="22"/>
        </w:rPr>
        <w:t>_______________</w:t>
      </w:r>
      <w:r>
        <w:rPr>
          <w:rFonts w:cstheme="minorHAnsi"/>
          <w:color w:val="000000" w:themeColor="text1"/>
          <w:kern w:val="0"/>
          <w:sz w:val="22"/>
          <w:szCs w:val="22"/>
        </w:rPr>
        <w:br/>
      </w:r>
      <w:r w:rsidRPr="009851E2">
        <w:rPr>
          <w:rFonts w:cstheme="minorHAnsi"/>
          <w:color w:val="000000" w:themeColor="text1"/>
          <w:kern w:val="0"/>
          <w:sz w:val="22"/>
          <w:szCs w:val="22"/>
        </w:rPr>
        <w:t>Unterschriften</w:t>
      </w:r>
    </w:p>
    <w:p w14:paraId="7452803A" w14:textId="2D45FB18" w:rsidR="00572DD9" w:rsidRPr="009851E2" w:rsidRDefault="00572DD9" w:rsidP="009851E2">
      <w:pPr>
        <w:spacing w:after="0"/>
        <w:rPr>
          <w:rFonts w:cstheme="minorHAnsi"/>
          <w:sz w:val="22"/>
          <w:szCs w:val="22"/>
        </w:rPr>
      </w:pPr>
    </w:p>
    <w:sectPr w:rsidR="00572DD9" w:rsidRPr="009851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2C"/>
    <w:rsid w:val="001D05F3"/>
    <w:rsid w:val="0032644E"/>
    <w:rsid w:val="003B1974"/>
    <w:rsid w:val="00572DD9"/>
    <w:rsid w:val="005E645B"/>
    <w:rsid w:val="006802DB"/>
    <w:rsid w:val="0078069B"/>
    <w:rsid w:val="007C3C53"/>
    <w:rsid w:val="009851E2"/>
    <w:rsid w:val="009C3F35"/>
    <w:rsid w:val="00DC404A"/>
    <w:rsid w:val="00FB1F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B16F7C6"/>
  <w15:chartTrackingRefBased/>
  <w15:docId w15:val="{3A6AA7AD-78CA-384B-80FF-265693EA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1F2C"/>
    <w:pPr>
      <w:spacing w:after="160" w:line="278" w:lineRule="auto"/>
    </w:pPr>
    <w:rPr>
      <w:rFonts w:eastAsiaTheme="minorEastAsia"/>
    </w:rPr>
  </w:style>
  <w:style w:type="paragraph" w:styleId="berschrift1">
    <w:name w:val="heading 1"/>
    <w:basedOn w:val="Standard"/>
    <w:next w:val="Standard"/>
    <w:link w:val="berschrift1Zchn"/>
    <w:uiPriority w:val="9"/>
    <w:qFormat/>
    <w:rsid w:val="00FB1F2C"/>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B1F2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B1F2C"/>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B1F2C"/>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B1F2C"/>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B1F2C"/>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1F2C"/>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1F2C"/>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1F2C"/>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1F2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B1F2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B1F2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B1F2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B1F2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B1F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1F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1F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1F2C"/>
    <w:rPr>
      <w:rFonts w:eastAsiaTheme="majorEastAsia" w:cstheme="majorBidi"/>
      <w:color w:val="272727" w:themeColor="text1" w:themeTint="D8"/>
    </w:rPr>
  </w:style>
  <w:style w:type="paragraph" w:styleId="Titel">
    <w:name w:val="Title"/>
    <w:basedOn w:val="Standard"/>
    <w:next w:val="Standard"/>
    <w:link w:val="TitelZchn"/>
    <w:uiPriority w:val="10"/>
    <w:qFormat/>
    <w:rsid w:val="00FB1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1F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1F2C"/>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1F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1F2C"/>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FB1F2C"/>
    <w:rPr>
      <w:i/>
      <w:iCs/>
      <w:color w:val="404040" w:themeColor="text1" w:themeTint="BF"/>
    </w:rPr>
  </w:style>
  <w:style w:type="paragraph" w:styleId="Listenabsatz">
    <w:name w:val="List Paragraph"/>
    <w:basedOn w:val="Standard"/>
    <w:uiPriority w:val="34"/>
    <w:qFormat/>
    <w:rsid w:val="00FB1F2C"/>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FB1F2C"/>
    <w:rPr>
      <w:i/>
      <w:iCs/>
      <w:color w:val="2F5496" w:themeColor="accent1" w:themeShade="BF"/>
    </w:rPr>
  </w:style>
  <w:style w:type="paragraph" w:styleId="IntensivesZitat">
    <w:name w:val="Intense Quote"/>
    <w:basedOn w:val="Standard"/>
    <w:next w:val="Standard"/>
    <w:link w:val="IntensivesZitatZchn"/>
    <w:uiPriority w:val="30"/>
    <w:qFormat/>
    <w:rsid w:val="00FB1F2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FB1F2C"/>
    <w:rPr>
      <w:i/>
      <w:iCs/>
      <w:color w:val="2F5496" w:themeColor="accent1" w:themeShade="BF"/>
    </w:rPr>
  </w:style>
  <w:style w:type="character" w:styleId="IntensiverVerweis">
    <w:name w:val="Intense Reference"/>
    <w:basedOn w:val="Absatz-Standardschriftart"/>
    <w:uiPriority w:val="32"/>
    <w:qFormat/>
    <w:rsid w:val="00FB1F2C"/>
    <w:rPr>
      <w:b/>
      <w:bCs/>
      <w:smallCaps/>
      <w:color w:val="2F5496" w:themeColor="accent1" w:themeShade="BF"/>
      <w:spacing w:val="5"/>
    </w:rPr>
  </w:style>
  <w:style w:type="table" w:styleId="Tabellenraster">
    <w:name w:val="Table Grid"/>
    <w:basedOn w:val="NormaleTabelle"/>
    <w:uiPriority w:val="39"/>
    <w:rsid w:val="001D0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48E14A-6A1C-47C2-9A18-D3EA1D43C661}"/>
</file>

<file path=customXml/itemProps2.xml><?xml version="1.0" encoding="utf-8"?>
<ds:datastoreItem xmlns:ds="http://schemas.openxmlformats.org/officeDocument/2006/customXml" ds:itemID="{82AD42B1-BD40-402F-9C9E-F0C8D170A37B}"/>
</file>

<file path=customXml/itemProps3.xml><?xml version="1.0" encoding="utf-8"?>
<ds:datastoreItem xmlns:ds="http://schemas.openxmlformats.org/officeDocument/2006/customXml" ds:itemID="{5380F639-8D30-4DD9-87CD-1F872E13CDEA}"/>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7563</Characters>
  <Application>Microsoft Office Word</Application>
  <DocSecurity>0</DocSecurity>
  <Lines>63</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2026-01-31T08:15:00Z</dcterms:created>
  <dcterms:modified xsi:type="dcterms:W3CDTF">2026-01-31T08:15:00Z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