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84F4" w14:textId="27B91579" w:rsidR="00EA4C1B" w:rsidRDefault="00567748">
      <w:r>
        <w:t>MS-BV-Gleitzeit</w:t>
      </w:r>
    </w:p>
    <w:p w14:paraId="0DFCD5BC" w14:textId="77777777" w:rsidR="00567748" w:rsidRDefault="00567748"/>
    <w:p w14:paraId="05BF2A92" w14:textId="77777777" w:rsidR="00567748" w:rsidRPr="005B520D" w:rsidRDefault="00567748" w:rsidP="00567748">
      <w:pPr>
        <w:spacing w:before="240" w:after="240"/>
        <w:textAlignment w:val="baseline"/>
        <w:rPr>
          <w:rFonts w:eastAsia="Times New Roman" w:cstheme="minorHAnsi"/>
          <w:b/>
          <w:bCs/>
          <w:color w:val="333333"/>
          <w:kern w:val="0"/>
          <w:lang w:eastAsia="de-DE"/>
          <w14:ligatures w14:val="none"/>
        </w:rPr>
      </w:pPr>
      <w:r w:rsidRPr="005B520D">
        <w:rPr>
          <w:rFonts w:eastAsia="Times New Roman" w:cstheme="minorHAnsi"/>
          <w:b/>
          <w:bCs/>
          <w:color w:val="333333"/>
          <w:kern w:val="0"/>
          <w:lang w:eastAsia="de-DE"/>
          <w14:ligatures w14:val="none"/>
        </w:rPr>
        <w:t>Muster-Betriebsvereinbarung zur gleitenden Arbeitszeit</w:t>
      </w:r>
    </w:p>
    <w:p w14:paraId="11D0E49B"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Zwischen der … (Name des Unternehmens), vertreten durch die Geschäftsleitung … und dem Betriebsrat der … (Name des Unternehmens) vertreten durch den Betriebsratsvorsitzenden … wird folgende Betriebsvereinbarung zur gleitenden Arbeitszeit geschlossen.</w:t>
      </w:r>
    </w:p>
    <w:p w14:paraId="15DEBF51"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1 Geltungsbereich</w:t>
      </w:r>
    </w:p>
    <w:p w14:paraId="1D5E31F6"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Vorliegende Betriebsvereinbarung gilt für alle Beschäftigten der … Für die Auszubildenden wurde eine abweichende Arbeitszeitregelung getroffen.</w:t>
      </w:r>
    </w:p>
    <w:p w14:paraId="41AF724C"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2 Gleitende Arbeitszeit</w:t>
      </w:r>
    </w:p>
    <w:p w14:paraId="02C0B5D7"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Jeder Beschäftigte kann innerhalb der Bandbreite der Gleitzeit wählen, wann er die Arbeit aufnehmen und beenden möchte. Er ist lediglich verpflichtet, seine Pflichtarbeitszeit (Kernzeit) einzuhalten und für den Abrechnungszeitraum festgelegte Sollarbeitszeit zu erbringen.</w:t>
      </w:r>
    </w:p>
    <w:p w14:paraId="360C9F9F"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 xml:space="preserve">Falls es aus erforderlichen Gründen erforderlich ist, kann der Vorgesetzte an bis zu 5 Tagen monatlich Arbeitsbeginn und Arbeitsende außerhalb der Kernzeit anordnen. Außer in Notfällen bedarf es einer Ankündigung mindestens 4 Tage vorher. </w:t>
      </w:r>
    </w:p>
    <w:p w14:paraId="1D54582E"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3 Arbeitszeitrahmen</w:t>
      </w:r>
    </w:p>
    <w:p w14:paraId="47C796C8"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 xml:space="preserve">Die tägliche Bandbreite der Gleitzeit (Arbeitszeitrahmen) umfasst den Zeitraum zwischen 6 Uhr und 18 Uhr. Eine Anwesenheit im Betrieb Außerhalb des Arbeitszeitrahmens ist nur mit ausdrücklicher Genehmigung möglich. </w:t>
      </w:r>
    </w:p>
    <w:p w14:paraId="4EF047BA"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4 Kernarbeitszeit</w:t>
      </w:r>
    </w:p>
    <w:p w14:paraId="72FC98F0"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 xml:space="preserve">Die Kernarbeitszeit, in der die Arbeitnehmer verpflichtet sind zu arbeiten, umfasst jeweils die Zeit zwischen spätestens Arbeitsbeginn um 8 Uhr und frühestem Arbeitsende um 15 Uhr. </w:t>
      </w:r>
    </w:p>
    <w:p w14:paraId="5F841E61"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Während der Pflichtarbeitszeit müssen alle Beschäftigten im Betrieb anwesend sein, sofern sie nicht krank, beurlaubt oder erlaubt abwesend sind. Jede Abwesenheit in der Kernarbeitszeit ist zu begründen. Persönliche Angelegenheiten sind soweit wie möglich während der Gleitzeit zu erledigen.</w:t>
      </w:r>
    </w:p>
    <w:p w14:paraId="6A8E5E5B"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Eine gegenseitige Absprache innerhalb der Teams ist notwendig, damit sie auch außerhalb der Kernarbeitszeit während der gesamten Betriebszeit ansprechbar – und funktionsfähig ist, also auch während der Gleitzeit.</w:t>
      </w:r>
    </w:p>
    <w:p w14:paraId="72C6B135"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5 Sollarbeitszeit</w:t>
      </w:r>
    </w:p>
    <w:p w14:paraId="4B892A86"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 xml:space="preserve">Die tägliche Normal-Sollarbeitszeit beträgt 8 Stunden. </w:t>
      </w:r>
    </w:p>
    <w:p w14:paraId="683142A6"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lastRenderedPageBreak/>
        <w:t>§ 6 Höchstarbeitszeit</w:t>
      </w:r>
    </w:p>
    <w:p w14:paraId="44D6D0B1"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Die tägliche Höchstarbeitszeit ist gesetzlich auf 8 Stunden begrenzt. Sie darf jedoch bis zu 10 Stunden dauern, wenn innerhalb von 6 Kalendermonaten oder innerhalb von 24 Wochen im Durchschnitt 8 Stunden werktäglich, wochentags 48 Stunden, nicht überschritten werden (§ 3 Arbeitszeitgesetz). Die vorliegende Betriebsvereinbarung sieht einen solchen kürzeren Ausgleichszeitraum vor, lässt also von Fall zu Fall eine tägliche individuelle Arbeitszeit von 10 Stunden zu.</w:t>
      </w:r>
    </w:p>
    <w:p w14:paraId="0010EFD8"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7 Mehrarbeit</w:t>
      </w:r>
    </w:p>
    <w:p w14:paraId="24CDE745"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Die Gleitzeit ist von der zu zahlenden Mehrarbeitszeit (Überstunden) streng zu trennen. Als zuschlagsfähige Arbeitszeit wird nur die Arbeitszeit vergütet, die vom Arbeitgeber oder dessen Beauftragten unter Beachtung der Mitbestimmungsrechte des Betriebsrats angeordnet ist. Mehrarbeit ist insoweit die Arbeitszeit, die über die für den Einzelnen zu diesem Zeitpunkt geltende individuelle wöchentliche Arbeitszeit hinausgeht (z.B. sind Mehrarbeitszuschläge bei einer flexiblen Arbeitszeit von 40 Stunden pro Woche ab der 41. sowie bei der flexiblen Arbeitszeit von 20 Stunden pro Woche ab der 21. Stunde zu bezahlen. Die Vergütung richtet sich nach … Arbeit an Samstagen ist grundsätzlich als Mehrarbeit zu bezahlen.</w:t>
      </w:r>
    </w:p>
    <w:p w14:paraId="0A2E0595"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8 Arbeitszeiterfassung</w:t>
      </w:r>
    </w:p>
    <w:p w14:paraId="2298D922"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Alle Beschäftigten ausgenommen der leitenden Angestellten haben ihre konkrete Arbeitszeit zu erfassen. Das heißt, dass sie sich für die Pausen aus und danach wieder einstempeln.</w:t>
      </w:r>
    </w:p>
    <w:p w14:paraId="5CCEA313"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Für die Erfassung der Arbeitszeit nutzen die Beschäftigten die Gleitzeitanlage an den Eingängen.</w:t>
      </w:r>
    </w:p>
    <w:p w14:paraId="7E52F2CE"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9 Ausgleichszeitraum</w:t>
      </w:r>
    </w:p>
    <w:p w14:paraId="4F39C00C"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 xml:space="preserve">Die monatliche Differenz zwischen Ist-Stunden und Soll-Stunden, gekürzt um eventuell angeordnete und zu zahlende Überstunden, ergibt den monatlichen Gleitzeitsaldo in Form der Gleitzeit-Gutschrift oder Gleitzeit-Lastschrift. Es wird auf den nächsten Monat vorgetragen. </w:t>
      </w:r>
    </w:p>
    <w:p w14:paraId="758965E5"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Ein Gleitzeit-Saldo darf zu keinem Zeitpunkt auf mehr als 20 Stunden anwachsen. Verantwortlich dafür ist in erster Linie der jeweilige Arbeitnehmer, wobei die Personalabteilungen die Arbeitszeitkonten monatlich prüft und die entsprechenden Auswertungen an die Mitarbeiter verschickt.</w:t>
      </w:r>
    </w:p>
    <w:p w14:paraId="331704B8"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 xml:space="preserve">Zum Ausgleich eines Zeitguthabens ist es möglich, innerhalb eines Monats in Absprache mit dem Vorgesetzten über die jeweiligen Tage und die betriebliche Vertretbarkeit bis zu … Tage zusammenhängend frei zu nehmen. </w:t>
      </w:r>
    </w:p>
    <w:p w14:paraId="151CCA5B"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10 Unterrichtung des Betriebsrats</w:t>
      </w:r>
    </w:p>
    <w:p w14:paraId="0C8BD1CA"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lastRenderedPageBreak/>
        <w:t>Damit der Betriebsrat sich über den jeweiligen Stand der tatsächlichen Arbeitszeiten informieren kann, erhält er einmal monatlich einen Ausdruck der Arbeitszeitkonten aller Arbeitnehmerinnen und Arbeitnehmer.</w:t>
      </w:r>
    </w:p>
    <w:p w14:paraId="6AFBE5DB" w14:textId="77777777" w:rsidR="00567748" w:rsidRPr="00797873" w:rsidRDefault="00567748" w:rsidP="00567748">
      <w:pPr>
        <w:spacing w:before="240" w:after="240"/>
        <w:textAlignment w:val="baseline"/>
        <w:rPr>
          <w:rFonts w:eastAsia="Times New Roman" w:cstheme="minorHAnsi"/>
          <w:b/>
          <w:bCs/>
          <w:color w:val="333333"/>
          <w:kern w:val="0"/>
          <w:lang w:eastAsia="de-DE"/>
          <w14:ligatures w14:val="none"/>
        </w:rPr>
      </w:pPr>
      <w:r w:rsidRPr="00797873">
        <w:rPr>
          <w:rFonts w:eastAsia="Times New Roman" w:cstheme="minorHAnsi"/>
          <w:b/>
          <w:bCs/>
          <w:color w:val="333333"/>
          <w:kern w:val="0"/>
          <w:lang w:eastAsia="de-DE"/>
          <w14:ligatures w14:val="none"/>
        </w:rPr>
        <w:t>§ 11 Schlussbestimmungen</w:t>
      </w:r>
    </w:p>
    <w:p w14:paraId="5CADFA98"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 xml:space="preserve">Die Betriebsvereinbarung tritt am … in Kraft. Sie kann mit einer Frist von 3 Monaten zum Jahresende von beiden Parteien gekündigt werden. Nach einer Kündigung gilt sie allerdings bis zum Abschluss einer neuen Vereinbarung zu diesem Thema weiter. </w:t>
      </w:r>
    </w:p>
    <w:p w14:paraId="1973729C" w14:textId="77777777" w:rsidR="00567748" w:rsidRPr="00797873" w:rsidRDefault="00567748" w:rsidP="00567748">
      <w:pPr>
        <w:spacing w:before="240" w:after="240"/>
        <w:textAlignment w:val="baseline"/>
        <w:rPr>
          <w:rFonts w:eastAsia="Times New Roman" w:cstheme="minorHAnsi"/>
          <w:color w:val="333333"/>
          <w:kern w:val="0"/>
          <w:lang w:eastAsia="de-DE"/>
          <w14:ligatures w14:val="none"/>
        </w:rPr>
      </w:pPr>
      <w:r w:rsidRPr="00797873">
        <w:rPr>
          <w:rFonts w:eastAsia="Times New Roman" w:cstheme="minorHAnsi"/>
          <w:color w:val="333333"/>
          <w:kern w:val="0"/>
          <w:lang w:eastAsia="de-DE"/>
          <w14:ligatures w14:val="none"/>
        </w:rPr>
        <w:t>Ort, Datum, Unterschriften</w:t>
      </w:r>
    </w:p>
    <w:p w14:paraId="197A5943" w14:textId="77777777" w:rsidR="00567748" w:rsidRDefault="00567748"/>
    <w:sectPr w:rsidR="00567748"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48"/>
    <w:rsid w:val="00153551"/>
    <w:rsid w:val="003317CA"/>
    <w:rsid w:val="00567748"/>
    <w:rsid w:val="00664AAB"/>
    <w:rsid w:val="0094513C"/>
    <w:rsid w:val="00A13E50"/>
    <w:rsid w:val="00D82534"/>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B541"/>
  <w15:chartTrackingRefBased/>
  <w15:docId w15:val="{6161E2C0-F677-CD4F-A6D2-3E6F1968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77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77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77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774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774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774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774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77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77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77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77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77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77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77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77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7748"/>
    <w:rPr>
      <w:rFonts w:eastAsiaTheme="majorEastAsia" w:cstheme="majorBidi"/>
      <w:color w:val="272727" w:themeColor="text1" w:themeTint="D8"/>
    </w:rPr>
  </w:style>
  <w:style w:type="paragraph" w:styleId="Titel">
    <w:name w:val="Title"/>
    <w:basedOn w:val="Standard"/>
    <w:next w:val="Standard"/>
    <w:link w:val="TitelZchn"/>
    <w:uiPriority w:val="10"/>
    <w:qFormat/>
    <w:rsid w:val="0056774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77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774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77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774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7748"/>
    <w:rPr>
      <w:i/>
      <w:iCs/>
      <w:color w:val="404040" w:themeColor="text1" w:themeTint="BF"/>
    </w:rPr>
  </w:style>
  <w:style w:type="paragraph" w:styleId="Listenabsatz">
    <w:name w:val="List Paragraph"/>
    <w:basedOn w:val="Standard"/>
    <w:uiPriority w:val="34"/>
    <w:qFormat/>
    <w:rsid w:val="00567748"/>
    <w:pPr>
      <w:ind w:left="720"/>
      <w:contextualSpacing/>
    </w:pPr>
  </w:style>
  <w:style w:type="character" w:styleId="IntensiveHervorhebung">
    <w:name w:val="Intense Emphasis"/>
    <w:basedOn w:val="Absatz-Standardschriftart"/>
    <w:uiPriority w:val="21"/>
    <w:qFormat/>
    <w:rsid w:val="00567748"/>
    <w:rPr>
      <w:i/>
      <w:iCs/>
      <w:color w:val="0F4761" w:themeColor="accent1" w:themeShade="BF"/>
    </w:rPr>
  </w:style>
  <w:style w:type="paragraph" w:styleId="IntensivesZitat">
    <w:name w:val="Intense Quote"/>
    <w:basedOn w:val="Standard"/>
    <w:next w:val="Standard"/>
    <w:link w:val="IntensivesZitatZchn"/>
    <w:uiPriority w:val="30"/>
    <w:qFormat/>
    <w:rsid w:val="0056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7748"/>
    <w:rPr>
      <w:i/>
      <w:iCs/>
      <w:color w:val="0F4761" w:themeColor="accent1" w:themeShade="BF"/>
    </w:rPr>
  </w:style>
  <w:style w:type="character" w:styleId="IntensiverVerweis">
    <w:name w:val="Intense Reference"/>
    <w:basedOn w:val="Absatz-Standardschriftart"/>
    <w:uiPriority w:val="32"/>
    <w:qFormat/>
    <w:rsid w:val="00567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4233</Characters>
  <Application>Microsoft Office Word</Application>
  <DocSecurity>0</DocSecurity>
  <Lines>35</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2026-03-29T16:42:00Z</dcterms:created>
  <dcterms:modified xsi:type="dcterms:W3CDTF">2026-03-29T16:42:00Z</dcterms:modified>
</cp:coreProperties>
</file>