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1C41" w14:textId="7DA1AD85" w:rsidR="00F2435D" w:rsidRDefault="00E50CF4" w:rsidP="007A7BCF">
      <w:pPr>
        <w:spacing w:before="95"/>
        <w:rPr>
          <w:rFonts w:ascii="Arial" w:hAnsi="Arial"/>
          <w:b/>
          <w:caps/>
          <w:color w:val="00B0F0"/>
          <w:sz w:val="28"/>
          <w:szCs w:val="28"/>
          <w:lang w:bidi="de-DE"/>
        </w:rPr>
      </w:pPr>
      <w:r>
        <w:rPr>
          <w:rFonts w:ascii="Arial" w:hAnsi="Arial"/>
          <w:b/>
          <w:caps/>
          <w:color w:val="00B0F0"/>
          <w:sz w:val="28"/>
          <w:szCs w:val="28"/>
          <w:lang w:bidi="de-DE"/>
        </w:rPr>
        <w:t>Gewalt am Arbeitsplatz</w:t>
      </w:r>
    </w:p>
    <w:p w14:paraId="13D2BAC3" w14:textId="77777777" w:rsidR="00A82D93" w:rsidRDefault="00A82D93" w:rsidP="00A82D93">
      <w:pPr>
        <w:rPr>
          <w:b/>
        </w:rPr>
      </w:pPr>
    </w:p>
    <w:tbl>
      <w:tblPr>
        <w:tblStyle w:val="Tabellenraster"/>
        <w:tblW w:w="0" w:type="auto"/>
        <w:tblLook w:val="04A0" w:firstRow="1" w:lastRow="0" w:firstColumn="1" w:lastColumn="0" w:noHBand="0" w:noVBand="1"/>
      </w:tblPr>
      <w:tblGrid>
        <w:gridCol w:w="688"/>
        <w:gridCol w:w="7198"/>
        <w:gridCol w:w="1176"/>
      </w:tblGrid>
      <w:tr w:rsidR="002A1ED3" w:rsidRPr="002A1ED3" w14:paraId="2040ABA3" w14:textId="77777777" w:rsidTr="007A7BCF">
        <w:tc>
          <w:tcPr>
            <w:tcW w:w="9062" w:type="dxa"/>
            <w:gridSpan w:val="3"/>
            <w:shd w:val="clear" w:color="auto" w:fill="auto"/>
          </w:tcPr>
          <w:p w14:paraId="165399D1" w14:textId="6F6C092C" w:rsidR="00E50CF4" w:rsidRPr="002A1ED3" w:rsidRDefault="00E50CF4" w:rsidP="002A1ED3">
            <w:pPr>
              <w:pStyle w:val="StandardOffice"/>
              <w:jc w:val="left"/>
              <w:rPr>
                <w:b/>
                <w:bCs/>
                <w:color w:val="FFFFFF" w:themeColor="background1"/>
              </w:rPr>
            </w:pPr>
            <w:r w:rsidRPr="007A7BCF">
              <w:rPr>
                <w:b/>
                <w:bCs/>
              </w:rPr>
              <w:t>Diese Maßnahmen schützen Ihre Kollegen vor verbalen Übergriffen</w:t>
            </w:r>
          </w:p>
        </w:tc>
      </w:tr>
      <w:tr w:rsidR="004A3162" w14:paraId="10162C88" w14:textId="77777777" w:rsidTr="00A61A91">
        <w:tc>
          <w:tcPr>
            <w:tcW w:w="688" w:type="dxa"/>
            <w:shd w:val="clear" w:color="auto" w:fill="BFBFBF" w:themeFill="background1" w:themeFillShade="BF"/>
          </w:tcPr>
          <w:p w14:paraId="6C055558" w14:textId="77777777" w:rsidR="004A3162" w:rsidRDefault="004A3162" w:rsidP="004A3162">
            <w:pPr>
              <w:pStyle w:val="StandardOffice"/>
              <w:rPr>
                <w:b/>
                <w:bCs/>
              </w:rPr>
            </w:pPr>
            <w:r>
              <w:rPr>
                <w:b/>
                <w:bCs/>
              </w:rPr>
              <w:t>Nr.</w:t>
            </w:r>
          </w:p>
        </w:tc>
        <w:tc>
          <w:tcPr>
            <w:tcW w:w="7198" w:type="dxa"/>
            <w:shd w:val="clear" w:color="auto" w:fill="BFBFBF" w:themeFill="background1" w:themeFillShade="BF"/>
          </w:tcPr>
          <w:p w14:paraId="23A7F599" w14:textId="77777777" w:rsidR="004A3162" w:rsidRDefault="004A3162" w:rsidP="004A3162">
            <w:pPr>
              <w:pStyle w:val="StandardOffice"/>
              <w:rPr>
                <w:b/>
                <w:bCs/>
              </w:rPr>
            </w:pPr>
            <w:r>
              <w:rPr>
                <w:b/>
                <w:bCs/>
              </w:rPr>
              <w:t>Beschreibung der Maßnahme</w:t>
            </w:r>
          </w:p>
        </w:tc>
        <w:tc>
          <w:tcPr>
            <w:tcW w:w="1176" w:type="dxa"/>
            <w:shd w:val="clear" w:color="auto" w:fill="BFBFBF" w:themeFill="background1" w:themeFillShade="BF"/>
          </w:tcPr>
          <w:p w14:paraId="7D85C652" w14:textId="3B45C8D1" w:rsidR="004A3162" w:rsidRDefault="00000000" w:rsidP="00177EF8">
            <w:pPr>
              <w:pStyle w:val="Punktaufzhlung"/>
              <w:numPr>
                <w:ilvl w:val="0"/>
                <w:numId w:val="0"/>
              </w:numPr>
              <w:ind w:left="-61"/>
              <w:jc w:val="center"/>
            </w:pPr>
            <w:sdt>
              <w:sdtPr>
                <w:rPr>
                  <w:color w:val="4A4A4B"/>
                </w:rPr>
                <w:id w:val="-1449545858"/>
                <w14:checkbox>
                  <w14:checked w14:val="0"/>
                  <w14:checkedState w14:val="2612" w14:font="MS Gothic"/>
                  <w14:uncheckedState w14:val="2610" w14:font="MS Gothic"/>
                </w14:checkbox>
              </w:sdtPr>
              <w:sdtContent>
                <w:r w:rsidR="00177EF8">
                  <w:rPr>
                    <w:rFonts w:ascii="MS Gothic" w:eastAsia="MS Gothic" w:hAnsi="MS Gothic" w:hint="eastAsia"/>
                    <w:color w:val="4A4A4B"/>
                  </w:rPr>
                  <w:t>☐</w:t>
                </w:r>
              </w:sdtContent>
            </w:sdt>
          </w:p>
        </w:tc>
      </w:tr>
      <w:tr w:rsidR="004A3162" w14:paraId="12372004" w14:textId="77777777" w:rsidTr="004A3162">
        <w:tc>
          <w:tcPr>
            <w:tcW w:w="688" w:type="dxa"/>
          </w:tcPr>
          <w:p w14:paraId="3DB710E2" w14:textId="77777777" w:rsidR="004A3162" w:rsidRDefault="004A3162" w:rsidP="004A3162">
            <w:pPr>
              <w:pStyle w:val="StandardOffice"/>
              <w:rPr>
                <w:b/>
                <w:bCs/>
              </w:rPr>
            </w:pPr>
            <w:r>
              <w:rPr>
                <w:b/>
                <w:bCs/>
              </w:rPr>
              <w:t>1.</w:t>
            </w:r>
          </w:p>
        </w:tc>
        <w:tc>
          <w:tcPr>
            <w:tcW w:w="7198" w:type="dxa"/>
          </w:tcPr>
          <w:p w14:paraId="330F7FC6" w14:textId="77777777" w:rsidR="004A3162" w:rsidRDefault="004A3162" w:rsidP="004A3162">
            <w:pPr>
              <w:pStyle w:val="StandardOffice"/>
              <w:rPr>
                <w:b/>
                <w:bCs/>
              </w:rPr>
            </w:pPr>
            <w:r>
              <w:t>Sorgen Sie für eine räumliche Trennung Ihrer Kollegen von Externen, z. B. durch eine Trennwand oder einen Schalter</w:t>
            </w:r>
          </w:p>
        </w:tc>
        <w:tc>
          <w:tcPr>
            <w:tcW w:w="1176" w:type="dxa"/>
          </w:tcPr>
          <w:p w14:paraId="74A5A851" w14:textId="0109AA8C" w:rsidR="004A3162" w:rsidRDefault="00000000" w:rsidP="00177EF8">
            <w:pPr>
              <w:pStyle w:val="Punktaufzhlung"/>
              <w:numPr>
                <w:ilvl w:val="0"/>
                <w:numId w:val="0"/>
              </w:numPr>
              <w:ind w:left="-61"/>
              <w:jc w:val="center"/>
            </w:pPr>
            <w:sdt>
              <w:sdtPr>
                <w:rPr>
                  <w:color w:val="4A4A4B"/>
                </w:rPr>
                <w:id w:val="-1375695067"/>
                <w14:checkbox>
                  <w14:checked w14:val="0"/>
                  <w14:checkedState w14:val="2612" w14:font="MS Gothic"/>
                  <w14:uncheckedState w14:val="2610" w14:font="MS Gothic"/>
                </w14:checkbox>
              </w:sdtPr>
              <w:sdtContent>
                <w:r w:rsidR="00177EF8">
                  <w:rPr>
                    <w:rFonts w:ascii="MS Gothic" w:eastAsia="MS Gothic" w:hAnsi="MS Gothic" w:hint="eastAsia"/>
                    <w:color w:val="4A4A4B"/>
                  </w:rPr>
                  <w:t>☐</w:t>
                </w:r>
              </w:sdtContent>
            </w:sdt>
          </w:p>
        </w:tc>
      </w:tr>
      <w:tr w:rsidR="004A3162" w14:paraId="0B2A4DF3" w14:textId="77777777" w:rsidTr="004A3162">
        <w:tc>
          <w:tcPr>
            <w:tcW w:w="688" w:type="dxa"/>
          </w:tcPr>
          <w:p w14:paraId="67D40534" w14:textId="77777777" w:rsidR="004A3162" w:rsidRDefault="004A3162" w:rsidP="004A3162">
            <w:pPr>
              <w:pStyle w:val="StandardOffice"/>
              <w:rPr>
                <w:b/>
                <w:bCs/>
              </w:rPr>
            </w:pPr>
            <w:r>
              <w:rPr>
                <w:b/>
                <w:bCs/>
              </w:rPr>
              <w:t xml:space="preserve">2. </w:t>
            </w:r>
          </w:p>
        </w:tc>
        <w:tc>
          <w:tcPr>
            <w:tcW w:w="7198" w:type="dxa"/>
          </w:tcPr>
          <w:p w14:paraId="4BD88E3B" w14:textId="77777777" w:rsidR="004A3162" w:rsidRDefault="004A3162" w:rsidP="004A3162">
            <w:pPr>
              <w:pStyle w:val="StandardOffice"/>
              <w:rPr>
                <w:b/>
                <w:bCs/>
              </w:rPr>
            </w:pPr>
            <w:r>
              <w:t>Lassen Sie ein Alarmsystem installieren, das im Notfall aktiviert werden kann. Dies ist auch im Verkaufsladen möglich, wenn nur ein Kollege den Raum betreut.</w:t>
            </w:r>
          </w:p>
        </w:tc>
        <w:tc>
          <w:tcPr>
            <w:tcW w:w="1176" w:type="dxa"/>
          </w:tcPr>
          <w:p w14:paraId="4DD54E51" w14:textId="148BA56B" w:rsidR="004A3162" w:rsidRDefault="00000000" w:rsidP="00177EF8">
            <w:pPr>
              <w:pStyle w:val="Punktaufzhlung"/>
              <w:numPr>
                <w:ilvl w:val="0"/>
                <w:numId w:val="0"/>
              </w:numPr>
              <w:ind w:left="-61"/>
              <w:jc w:val="center"/>
            </w:pPr>
            <w:sdt>
              <w:sdtPr>
                <w:rPr>
                  <w:color w:val="4A4A4B"/>
                </w:rPr>
                <w:id w:val="971552928"/>
                <w14:checkbox>
                  <w14:checked w14:val="0"/>
                  <w14:checkedState w14:val="2612" w14:font="MS Gothic"/>
                  <w14:uncheckedState w14:val="2610" w14:font="MS Gothic"/>
                </w14:checkbox>
              </w:sdtPr>
              <w:sdtContent>
                <w:r w:rsidR="004A3162" w:rsidRPr="00AA78A2">
                  <w:rPr>
                    <w:rFonts w:ascii="MS Gothic" w:eastAsia="MS Gothic" w:hAnsi="MS Gothic" w:hint="eastAsia"/>
                    <w:color w:val="4A4A4B"/>
                  </w:rPr>
                  <w:t>☐</w:t>
                </w:r>
              </w:sdtContent>
            </w:sdt>
          </w:p>
        </w:tc>
      </w:tr>
      <w:tr w:rsidR="004A3162" w14:paraId="594CA9C1" w14:textId="77777777" w:rsidTr="004A3162">
        <w:tc>
          <w:tcPr>
            <w:tcW w:w="688" w:type="dxa"/>
          </w:tcPr>
          <w:p w14:paraId="70FD128E" w14:textId="77777777" w:rsidR="004A3162" w:rsidRDefault="004A3162" w:rsidP="004A3162">
            <w:pPr>
              <w:pStyle w:val="StandardOffice"/>
              <w:rPr>
                <w:b/>
                <w:bCs/>
              </w:rPr>
            </w:pPr>
            <w:r>
              <w:rPr>
                <w:b/>
                <w:bCs/>
              </w:rPr>
              <w:t>3.</w:t>
            </w:r>
          </w:p>
        </w:tc>
        <w:tc>
          <w:tcPr>
            <w:tcW w:w="7198" w:type="dxa"/>
          </w:tcPr>
          <w:p w14:paraId="37BDC307" w14:textId="77777777" w:rsidR="004A3162" w:rsidRDefault="004A3162" w:rsidP="004A3162">
            <w:pPr>
              <w:pStyle w:val="StandardOffice"/>
              <w:rPr>
                <w:b/>
                <w:bCs/>
              </w:rPr>
            </w:pPr>
            <w:r>
              <w:t>Ernennen Sie entsprechend geschulte Ersthelfer für psychologische Notfälle, die dann direkt für die betroffenen Kollegen da sind und beruhigend auf sie einwirken können. Zudem können solche psychologischen Ersthelfer auch die Kollegen direkt am Arbeitsplatz unterstützen.</w:t>
            </w:r>
          </w:p>
        </w:tc>
        <w:tc>
          <w:tcPr>
            <w:tcW w:w="1176" w:type="dxa"/>
          </w:tcPr>
          <w:p w14:paraId="05EFBDB0" w14:textId="7EA9C1F5" w:rsidR="004A3162" w:rsidRDefault="00000000" w:rsidP="00177EF8">
            <w:pPr>
              <w:pStyle w:val="Punktaufzhlung"/>
              <w:numPr>
                <w:ilvl w:val="0"/>
                <w:numId w:val="0"/>
              </w:numPr>
              <w:ind w:left="-61"/>
              <w:jc w:val="center"/>
            </w:pPr>
            <w:sdt>
              <w:sdtPr>
                <w:rPr>
                  <w:color w:val="4A4A4B"/>
                </w:rPr>
                <w:id w:val="-1733681552"/>
                <w14:checkbox>
                  <w14:checked w14:val="0"/>
                  <w14:checkedState w14:val="2612" w14:font="MS Gothic"/>
                  <w14:uncheckedState w14:val="2610" w14:font="MS Gothic"/>
                </w14:checkbox>
              </w:sdtPr>
              <w:sdtContent>
                <w:r w:rsidR="004A3162" w:rsidRPr="00AA78A2">
                  <w:rPr>
                    <w:rFonts w:ascii="MS Gothic" w:eastAsia="MS Gothic" w:hAnsi="MS Gothic" w:hint="eastAsia"/>
                    <w:color w:val="4A4A4B"/>
                  </w:rPr>
                  <w:t>☐</w:t>
                </w:r>
              </w:sdtContent>
            </w:sdt>
          </w:p>
        </w:tc>
      </w:tr>
      <w:tr w:rsidR="004A3162" w14:paraId="27974C6F" w14:textId="77777777" w:rsidTr="004A3162">
        <w:tc>
          <w:tcPr>
            <w:tcW w:w="688" w:type="dxa"/>
          </w:tcPr>
          <w:p w14:paraId="6D194061" w14:textId="77777777" w:rsidR="004A3162" w:rsidRDefault="004A3162" w:rsidP="004A3162">
            <w:pPr>
              <w:pStyle w:val="StandardOffice"/>
              <w:rPr>
                <w:b/>
                <w:bCs/>
              </w:rPr>
            </w:pPr>
            <w:r>
              <w:rPr>
                <w:b/>
                <w:bCs/>
              </w:rPr>
              <w:t>4.</w:t>
            </w:r>
          </w:p>
        </w:tc>
        <w:tc>
          <w:tcPr>
            <w:tcW w:w="7198" w:type="dxa"/>
          </w:tcPr>
          <w:p w14:paraId="7CC7BF52" w14:textId="77777777" w:rsidR="004A3162" w:rsidRDefault="004A3162" w:rsidP="004A3162">
            <w:pPr>
              <w:pStyle w:val="StandardOffice"/>
              <w:rPr>
                <w:b/>
                <w:bCs/>
              </w:rPr>
            </w:pPr>
            <w:r>
              <w:t>Fordern Sie eine Team-Supervision für die Bereiche in Ihrem Betrieb, die viel Kontakt zu Externen haben. Ein vertraulicher Austausch nach einem Vorfall hilft den Kolleginnen und Kollegen, mit der Sache fertig zu werden, und vermittelt ein starkes Gefühl von „Du bist nicht allein“.</w:t>
            </w:r>
          </w:p>
        </w:tc>
        <w:tc>
          <w:tcPr>
            <w:tcW w:w="1176" w:type="dxa"/>
          </w:tcPr>
          <w:p w14:paraId="1603B72F" w14:textId="76384052" w:rsidR="004A3162" w:rsidRDefault="00000000" w:rsidP="00177EF8">
            <w:pPr>
              <w:pStyle w:val="Punktaufzhlung"/>
              <w:numPr>
                <w:ilvl w:val="0"/>
                <w:numId w:val="0"/>
              </w:numPr>
              <w:ind w:left="-61"/>
              <w:jc w:val="center"/>
            </w:pPr>
            <w:sdt>
              <w:sdtPr>
                <w:rPr>
                  <w:color w:val="4A4A4B"/>
                </w:rPr>
                <w:id w:val="-1560001457"/>
                <w14:checkbox>
                  <w14:checked w14:val="0"/>
                  <w14:checkedState w14:val="2612" w14:font="MS Gothic"/>
                  <w14:uncheckedState w14:val="2610" w14:font="MS Gothic"/>
                </w14:checkbox>
              </w:sdtPr>
              <w:sdtContent>
                <w:r w:rsidR="004A3162" w:rsidRPr="00AA78A2">
                  <w:rPr>
                    <w:rFonts w:ascii="MS Gothic" w:eastAsia="MS Gothic" w:hAnsi="MS Gothic" w:hint="eastAsia"/>
                    <w:color w:val="4A4A4B"/>
                  </w:rPr>
                  <w:t>☐</w:t>
                </w:r>
              </w:sdtContent>
            </w:sdt>
          </w:p>
        </w:tc>
      </w:tr>
      <w:tr w:rsidR="004A3162" w14:paraId="0168E6AC" w14:textId="77777777" w:rsidTr="004A3162">
        <w:tc>
          <w:tcPr>
            <w:tcW w:w="688" w:type="dxa"/>
          </w:tcPr>
          <w:p w14:paraId="725C074D" w14:textId="77777777" w:rsidR="004A3162" w:rsidRDefault="004A3162" w:rsidP="004A3162">
            <w:pPr>
              <w:pStyle w:val="StandardOffice"/>
              <w:rPr>
                <w:b/>
                <w:bCs/>
              </w:rPr>
            </w:pPr>
            <w:r>
              <w:rPr>
                <w:b/>
                <w:bCs/>
              </w:rPr>
              <w:t>5.</w:t>
            </w:r>
          </w:p>
        </w:tc>
        <w:tc>
          <w:tcPr>
            <w:tcW w:w="7198" w:type="dxa"/>
          </w:tcPr>
          <w:p w14:paraId="4F911207" w14:textId="77777777" w:rsidR="004A3162" w:rsidRDefault="004A3162" w:rsidP="004A3162">
            <w:pPr>
              <w:pStyle w:val="StandardOffice"/>
              <w:rPr>
                <w:b/>
                <w:bCs/>
              </w:rPr>
            </w:pPr>
            <w:r>
              <w:t>Fordern Sie, dass alle gefährdeten Kolleginnen und Kollegen die Möglichkeit bekommen, sich schulen zu lassen im Umgang mit Konflikten, zum Erkennen von kritischen Situationen und zum Einsatz von Deeskalationsmöglichkeiten.</w:t>
            </w:r>
          </w:p>
        </w:tc>
        <w:tc>
          <w:tcPr>
            <w:tcW w:w="1176" w:type="dxa"/>
          </w:tcPr>
          <w:p w14:paraId="0B6D7688" w14:textId="54FDF811" w:rsidR="004A3162" w:rsidRDefault="00000000" w:rsidP="00177EF8">
            <w:pPr>
              <w:pStyle w:val="Punktaufzhlung"/>
              <w:numPr>
                <w:ilvl w:val="0"/>
                <w:numId w:val="0"/>
              </w:numPr>
              <w:ind w:left="-61"/>
              <w:jc w:val="center"/>
            </w:pPr>
            <w:sdt>
              <w:sdtPr>
                <w:rPr>
                  <w:color w:val="4A4A4B"/>
                </w:rPr>
                <w:id w:val="-837773097"/>
                <w14:checkbox>
                  <w14:checked w14:val="0"/>
                  <w14:checkedState w14:val="2612" w14:font="MS Gothic"/>
                  <w14:uncheckedState w14:val="2610" w14:font="MS Gothic"/>
                </w14:checkbox>
              </w:sdtPr>
              <w:sdtContent>
                <w:r w:rsidR="00A61A91">
                  <w:rPr>
                    <w:rFonts w:ascii="MS Gothic" w:eastAsia="MS Gothic" w:hAnsi="MS Gothic" w:hint="eastAsia"/>
                    <w:color w:val="4A4A4B"/>
                  </w:rPr>
                  <w:t>☐</w:t>
                </w:r>
              </w:sdtContent>
            </w:sdt>
          </w:p>
        </w:tc>
      </w:tr>
      <w:tr w:rsidR="004A3162" w14:paraId="474BA23F" w14:textId="77777777" w:rsidTr="004A3162">
        <w:tc>
          <w:tcPr>
            <w:tcW w:w="688" w:type="dxa"/>
          </w:tcPr>
          <w:p w14:paraId="30660EDB" w14:textId="77777777" w:rsidR="004A3162" w:rsidRDefault="004A3162" w:rsidP="004A3162">
            <w:pPr>
              <w:pStyle w:val="StandardOffice"/>
              <w:rPr>
                <w:b/>
                <w:bCs/>
              </w:rPr>
            </w:pPr>
            <w:r>
              <w:rPr>
                <w:b/>
                <w:bCs/>
              </w:rPr>
              <w:t>6.</w:t>
            </w:r>
          </w:p>
        </w:tc>
        <w:tc>
          <w:tcPr>
            <w:tcW w:w="7198" w:type="dxa"/>
          </w:tcPr>
          <w:p w14:paraId="5654AE24" w14:textId="77777777" w:rsidR="004A3162" w:rsidRDefault="004A3162" w:rsidP="004A3162">
            <w:pPr>
              <w:pStyle w:val="StandardOffice"/>
              <w:rPr>
                <w:b/>
                <w:bCs/>
              </w:rPr>
            </w:pPr>
            <w:r>
              <w:t>Fordern Sie, dass Gewalt und verbale Übergriffe in Ihrem Unternehmen systematisch erfasst werden, auch diejenigen, die nicht meldepflichtig sind. Dies geht beispielsweise einfach über ein anonym ausgefülltes Formular. Alternativ können Sie auch eine kurze Befragung unter den Kolleginnen und Kollegen anregen, um die Tragweite der Übergriffe in Ihrem Betrieb zu erfassen.</w:t>
            </w:r>
          </w:p>
        </w:tc>
        <w:tc>
          <w:tcPr>
            <w:tcW w:w="1176" w:type="dxa"/>
          </w:tcPr>
          <w:p w14:paraId="09A98478" w14:textId="0AC26684" w:rsidR="004A3162" w:rsidRDefault="00000000" w:rsidP="00A61A91">
            <w:pPr>
              <w:pStyle w:val="Punktaufzhlung"/>
              <w:numPr>
                <w:ilvl w:val="0"/>
                <w:numId w:val="0"/>
              </w:numPr>
              <w:ind w:left="-61" w:right="-112" w:hanging="360"/>
              <w:jc w:val="center"/>
            </w:pPr>
            <w:sdt>
              <w:sdtPr>
                <w:rPr>
                  <w:color w:val="4A4A4B"/>
                </w:rPr>
                <w:id w:val="-1033956061"/>
                <w14:checkbox>
                  <w14:checked w14:val="0"/>
                  <w14:checkedState w14:val="2612" w14:font="MS Gothic"/>
                  <w14:uncheckedState w14:val="2610" w14:font="MS Gothic"/>
                </w14:checkbox>
              </w:sdtPr>
              <w:sdtContent>
                <w:r w:rsidR="00A61A91">
                  <w:rPr>
                    <w:rFonts w:ascii="MS Gothic" w:eastAsia="MS Gothic" w:hAnsi="MS Gothic" w:hint="eastAsia"/>
                    <w:color w:val="4A4A4B"/>
                  </w:rPr>
                  <w:t>☐</w:t>
                </w:r>
              </w:sdtContent>
            </w:sdt>
          </w:p>
        </w:tc>
      </w:tr>
    </w:tbl>
    <w:p w14:paraId="3B9C1CA2" w14:textId="77777777" w:rsidR="00E50CF4" w:rsidRDefault="00E50CF4" w:rsidP="004A3162"/>
    <w:p w14:paraId="0A2E77DE" w14:textId="77777777" w:rsidR="000D3FA7" w:rsidRPr="000D3FA7" w:rsidRDefault="000D3FA7" w:rsidP="000D3FA7"/>
    <w:p w14:paraId="635E1F1F" w14:textId="77777777" w:rsidR="000D3FA7" w:rsidRPr="000D3FA7" w:rsidRDefault="000D3FA7" w:rsidP="000D3FA7"/>
    <w:p w14:paraId="3008C356" w14:textId="77777777" w:rsidR="000D3FA7" w:rsidRPr="000D3FA7" w:rsidRDefault="000D3FA7" w:rsidP="000D3FA7"/>
    <w:p w14:paraId="71163DE2" w14:textId="77777777" w:rsidR="000D3FA7" w:rsidRPr="000D3FA7" w:rsidRDefault="000D3FA7" w:rsidP="000D3FA7"/>
    <w:p w14:paraId="295B4408" w14:textId="77777777" w:rsidR="000D3FA7" w:rsidRPr="000D3FA7" w:rsidRDefault="000D3FA7" w:rsidP="000D3FA7"/>
    <w:p w14:paraId="18E88815" w14:textId="77777777" w:rsidR="000D3FA7" w:rsidRPr="000D3FA7" w:rsidRDefault="000D3FA7" w:rsidP="000D3FA7"/>
    <w:p w14:paraId="7DA4733C" w14:textId="77777777" w:rsidR="000D3FA7" w:rsidRPr="000D3FA7" w:rsidRDefault="000D3FA7" w:rsidP="000D3FA7"/>
    <w:p w14:paraId="119B248F" w14:textId="77777777" w:rsidR="000D3FA7" w:rsidRPr="000D3FA7" w:rsidRDefault="000D3FA7" w:rsidP="000D3FA7"/>
    <w:p w14:paraId="43AC1BA7" w14:textId="77777777" w:rsidR="000D3FA7" w:rsidRDefault="000D3FA7" w:rsidP="000D3FA7"/>
    <w:p w14:paraId="6DC884AE" w14:textId="409705FD" w:rsidR="000D3FA7" w:rsidRPr="000D3FA7" w:rsidRDefault="000D3FA7" w:rsidP="000D3FA7">
      <w:pPr>
        <w:tabs>
          <w:tab w:val="left" w:pos="2250"/>
        </w:tabs>
      </w:pPr>
      <w:r>
        <w:tab/>
      </w:r>
    </w:p>
    <w:sectPr w:rsidR="000D3FA7" w:rsidRPr="000D3FA7" w:rsidSect="000B67AA">
      <w:headerReference w:type="even" r:id="rId10"/>
      <w:headerReference w:type="default" r:id="rId11"/>
      <w:footerReference w:type="even" r:id="rId12"/>
      <w:footerReference w:type="default" r:id="rId13"/>
      <w:headerReference w:type="first" r:id="rId14"/>
      <w:footerReference w:type="first" r:id="rId15"/>
      <w:pgSz w:w="11906" w:h="16838" w:code="9"/>
      <w:pgMar w:top="1720"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08A7" w14:textId="77777777" w:rsidR="00986418" w:rsidRDefault="00986418" w:rsidP="008B0457">
      <w:pPr>
        <w:spacing w:line="240" w:lineRule="auto"/>
      </w:pPr>
      <w:r>
        <w:separator/>
      </w:r>
    </w:p>
  </w:endnote>
  <w:endnote w:type="continuationSeparator" w:id="0">
    <w:p w14:paraId="7E95FA03" w14:textId="77777777" w:rsidR="00986418" w:rsidRDefault="00986418"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C60B" w14:textId="77777777" w:rsidR="000D3FA7" w:rsidRDefault="000D3F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0C88" w14:textId="77777777" w:rsidR="002B1C90" w:rsidRPr="00811147" w:rsidRDefault="002B1C90" w:rsidP="00C67D68">
    <w:pPr>
      <w:pStyle w:val="Fuzeile"/>
      <w:ind w:firstLine="720"/>
      <w:rPr>
        <w:rFonts w:asciiTheme="majorHAnsi" w:hAnsiTheme="majorHAnsi" w:cstheme="majorHAnsi"/>
        <w:noProof/>
        <w:sz w:val="16"/>
        <w:lang w:bidi="de-DE"/>
      </w:rPr>
    </w:pPr>
    <w:r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325051" w:rsidRPr="00325051">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34D8A3C2"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7D51" w14:textId="77777777" w:rsidR="000D3FA7" w:rsidRDefault="000D3F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742E" w14:textId="77777777" w:rsidR="00986418" w:rsidRDefault="00986418" w:rsidP="008B0457">
      <w:pPr>
        <w:spacing w:line="240" w:lineRule="auto"/>
      </w:pPr>
      <w:r>
        <w:separator/>
      </w:r>
    </w:p>
  </w:footnote>
  <w:footnote w:type="continuationSeparator" w:id="0">
    <w:p w14:paraId="7FBE1328" w14:textId="77777777" w:rsidR="00986418" w:rsidRDefault="00986418"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C52D" w14:textId="77777777" w:rsidR="000D3FA7" w:rsidRDefault="000D3F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08B" w14:textId="325BCBF6" w:rsidR="00C67D68" w:rsidRDefault="000B67AA">
    <w:pPr>
      <w:pStyle w:val="Kopfzeile"/>
    </w:pPr>
    <w:r>
      <w:rPr>
        <w:noProof/>
        <w:lang w:eastAsia="de-DE"/>
      </w:rPr>
      <w:drawing>
        <wp:anchor distT="0" distB="0" distL="114300" distR="114300" simplePos="0" relativeHeight="251663360" behindDoc="0" locked="0" layoutInCell="1" allowOverlap="1" wp14:anchorId="06AC7191" wp14:editId="301F532F">
          <wp:simplePos x="0" y="0"/>
          <wp:positionH relativeFrom="margin">
            <wp:posOffset>0</wp:posOffset>
          </wp:positionH>
          <wp:positionV relativeFrom="paragraph">
            <wp:posOffset>284953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5846B9B1" wp14:editId="4484B68B">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BD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88D4" w14:textId="77777777" w:rsidR="000D3FA7" w:rsidRDefault="000D3F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2C14BEF"/>
    <w:multiLevelType w:val="hybridMultilevel"/>
    <w:tmpl w:val="9258ADE0"/>
    <w:lvl w:ilvl="0" w:tplc="C52CCA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E7AF4"/>
    <w:multiLevelType w:val="hybridMultilevel"/>
    <w:tmpl w:val="776A9370"/>
    <w:lvl w:ilvl="0" w:tplc="C52CCA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31361A"/>
    <w:multiLevelType w:val="hybridMultilevel"/>
    <w:tmpl w:val="966C5C18"/>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6" w15:restartNumberingAfterBreak="0">
    <w:nsid w:val="1CB03172"/>
    <w:multiLevelType w:val="hybridMultilevel"/>
    <w:tmpl w:val="4D32E88A"/>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1D4C81"/>
    <w:multiLevelType w:val="hybridMultilevel"/>
    <w:tmpl w:val="5F387AD4"/>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6368E"/>
    <w:multiLevelType w:val="hybridMultilevel"/>
    <w:tmpl w:val="58368366"/>
    <w:lvl w:ilvl="0" w:tplc="6162500C">
      <w:start w:val="1"/>
      <w:numFmt w:val="bullet"/>
      <w:pStyle w:val="Punk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8B0500"/>
    <w:multiLevelType w:val="hybridMultilevel"/>
    <w:tmpl w:val="527A95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7186C"/>
    <w:multiLevelType w:val="hybridMultilevel"/>
    <w:tmpl w:val="55D2E3E8"/>
    <w:lvl w:ilvl="0" w:tplc="2BCC7E08">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EC0B0F"/>
    <w:multiLevelType w:val="hybridMultilevel"/>
    <w:tmpl w:val="9F16B73C"/>
    <w:lvl w:ilvl="0" w:tplc="6162500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540E96"/>
    <w:multiLevelType w:val="hybridMultilevel"/>
    <w:tmpl w:val="718A1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8035935">
    <w:abstractNumId w:val="10"/>
  </w:num>
  <w:num w:numId="2" w16cid:durableId="1356538290">
    <w:abstractNumId w:val="11"/>
  </w:num>
  <w:num w:numId="3" w16cid:durableId="443379558">
    <w:abstractNumId w:val="12"/>
  </w:num>
  <w:num w:numId="4" w16cid:durableId="226494861">
    <w:abstractNumId w:val="3"/>
  </w:num>
  <w:num w:numId="5" w16cid:durableId="404382922">
    <w:abstractNumId w:val="15"/>
  </w:num>
  <w:num w:numId="6" w16cid:durableId="1806855304">
    <w:abstractNumId w:val="1"/>
  </w:num>
  <w:num w:numId="7" w16cid:durableId="1360542242">
    <w:abstractNumId w:val="0"/>
  </w:num>
  <w:num w:numId="8" w16cid:durableId="715198401">
    <w:abstractNumId w:val="5"/>
  </w:num>
  <w:num w:numId="9" w16cid:durableId="1375352569">
    <w:abstractNumId w:val="9"/>
  </w:num>
  <w:num w:numId="10" w16cid:durableId="1665553054">
    <w:abstractNumId w:val="16"/>
  </w:num>
  <w:num w:numId="11" w16cid:durableId="215091924">
    <w:abstractNumId w:val="7"/>
  </w:num>
  <w:num w:numId="12" w16cid:durableId="490220030">
    <w:abstractNumId w:val="6"/>
  </w:num>
  <w:num w:numId="13" w16cid:durableId="644966110">
    <w:abstractNumId w:val="13"/>
  </w:num>
  <w:num w:numId="14" w16cid:durableId="330328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910178">
    <w:abstractNumId w:val="2"/>
  </w:num>
  <w:num w:numId="16" w16cid:durableId="1705058791">
    <w:abstractNumId w:val="4"/>
  </w:num>
  <w:num w:numId="17" w16cid:durableId="1232236330">
    <w:abstractNumId w:val="8"/>
  </w:num>
  <w:num w:numId="18" w16cid:durableId="890575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68"/>
    <w:rsid w:val="0003156E"/>
    <w:rsid w:val="000510F3"/>
    <w:rsid w:val="000843C5"/>
    <w:rsid w:val="000A67DF"/>
    <w:rsid w:val="000B67AA"/>
    <w:rsid w:val="000D3FA7"/>
    <w:rsid w:val="000F1284"/>
    <w:rsid w:val="001366CC"/>
    <w:rsid w:val="001369F1"/>
    <w:rsid w:val="001421CE"/>
    <w:rsid w:val="00177EF8"/>
    <w:rsid w:val="00181F90"/>
    <w:rsid w:val="00194FA3"/>
    <w:rsid w:val="001A38C3"/>
    <w:rsid w:val="00210551"/>
    <w:rsid w:val="00247E4A"/>
    <w:rsid w:val="002572BF"/>
    <w:rsid w:val="002847C3"/>
    <w:rsid w:val="00286C0D"/>
    <w:rsid w:val="00290C95"/>
    <w:rsid w:val="002A0996"/>
    <w:rsid w:val="002A1ED3"/>
    <w:rsid w:val="002B1C90"/>
    <w:rsid w:val="002D5565"/>
    <w:rsid w:val="002D7A3F"/>
    <w:rsid w:val="00325051"/>
    <w:rsid w:val="00371909"/>
    <w:rsid w:val="003A29F6"/>
    <w:rsid w:val="003A77CE"/>
    <w:rsid w:val="003D5844"/>
    <w:rsid w:val="00441C96"/>
    <w:rsid w:val="0047476B"/>
    <w:rsid w:val="004A3162"/>
    <w:rsid w:val="004B0BCF"/>
    <w:rsid w:val="00585E82"/>
    <w:rsid w:val="00594481"/>
    <w:rsid w:val="00595455"/>
    <w:rsid w:val="005A5989"/>
    <w:rsid w:val="006259A1"/>
    <w:rsid w:val="00675F78"/>
    <w:rsid w:val="006C0196"/>
    <w:rsid w:val="006C0AED"/>
    <w:rsid w:val="006C27EC"/>
    <w:rsid w:val="006C444D"/>
    <w:rsid w:val="006E57EE"/>
    <w:rsid w:val="006F7689"/>
    <w:rsid w:val="0070014D"/>
    <w:rsid w:val="00740222"/>
    <w:rsid w:val="007445E4"/>
    <w:rsid w:val="007910E9"/>
    <w:rsid w:val="00791462"/>
    <w:rsid w:val="007A7BCF"/>
    <w:rsid w:val="0081053B"/>
    <w:rsid w:val="00811147"/>
    <w:rsid w:val="00883DE3"/>
    <w:rsid w:val="008B0457"/>
    <w:rsid w:val="00906010"/>
    <w:rsid w:val="009739C5"/>
    <w:rsid w:val="00980624"/>
    <w:rsid w:val="00986418"/>
    <w:rsid w:val="00A27BBA"/>
    <w:rsid w:val="00A34118"/>
    <w:rsid w:val="00A359D2"/>
    <w:rsid w:val="00A37838"/>
    <w:rsid w:val="00A455D9"/>
    <w:rsid w:val="00A61A91"/>
    <w:rsid w:val="00A741FB"/>
    <w:rsid w:val="00A82D93"/>
    <w:rsid w:val="00A85379"/>
    <w:rsid w:val="00AD2609"/>
    <w:rsid w:val="00AE53AB"/>
    <w:rsid w:val="00B04DF0"/>
    <w:rsid w:val="00B11398"/>
    <w:rsid w:val="00B27F29"/>
    <w:rsid w:val="00B30935"/>
    <w:rsid w:val="00B55E3C"/>
    <w:rsid w:val="00B734EF"/>
    <w:rsid w:val="00B75C23"/>
    <w:rsid w:val="00B80F1F"/>
    <w:rsid w:val="00BB3830"/>
    <w:rsid w:val="00BB5447"/>
    <w:rsid w:val="00BC0806"/>
    <w:rsid w:val="00C67D68"/>
    <w:rsid w:val="00C95E8D"/>
    <w:rsid w:val="00CE411D"/>
    <w:rsid w:val="00D00296"/>
    <w:rsid w:val="00D141B9"/>
    <w:rsid w:val="00D21754"/>
    <w:rsid w:val="00D40598"/>
    <w:rsid w:val="00D41208"/>
    <w:rsid w:val="00E42E27"/>
    <w:rsid w:val="00E50CF4"/>
    <w:rsid w:val="00E71676"/>
    <w:rsid w:val="00EC1947"/>
    <w:rsid w:val="00ED5AB0"/>
    <w:rsid w:val="00EE14B4"/>
    <w:rsid w:val="00F06AF6"/>
    <w:rsid w:val="00F2435D"/>
    <w:rsid w:val="00F478A9"/>
    <w:rsid w:val="00F5564F"/>
    <w:rsid w:val="00F6243E"/>
    <w:rsid w:val="00F72D14"/>
    <w:rsid w:val="00F80C72"/>
    <w:rsid w:val="00F93095"/>
    <w:rsid w:val="00FA0816"/>
    <w:rsid w:val="00FB4A42"/>
    <w:rsid w:val="00FD0414"/>
    <w:rsid w:val="00FD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aliases w:val="Nummerierund"/>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uiPriority w:val="39"/>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character" w:styleId="Kommentarzeichen">
    <w:name w:val="annotation reference"/>
    <w:basedOn w:val="Absatz-Standardschriftart"/>
    <w:uiPriority w:val="99"/>
    <w:semiHidden/>
    <w:unhideWhenUsed/>
    <w:rsid w:val="00FD7BBC"/>
    <w:rPr>
      <w:sz w:val="16"/>
      <w:szCs w:val="16"/>
    </w:rPr>
  </w:style>
  <w:style w:type="character" w:styleId="Platzhaltertext">
    <w:name w:val="Placeholder Text"/>
    <w:basedOn w:val="Absatz-Standardschriftart"/>
    <w:semiHidden/>
    <w:rsid w:val="00371909"/>
    <w:rPr>
      <w:color w:val="808080"/>
    </w:rPr>
  </w:style>
  <w:style w:type="paragraph" w:customStyle="1" w:styleId="StandardOffice">
    <w:name w:val="Standard Office"/>
    <w:qFormat/>
    <w:rsid w:val="00E50CF4"/>
    <w:pPr>
      <w:spacing w:line="290" w:lineRule="auto"/>
      <w:jc w:val="both"/>
    </w:pPr>
    <w:rPr>
      <w:rFonts w:eastAsia="Symbol" w:cs="Times New Roman"/>
      <w:sz w:val="24"/>
      <w:szCs w:val="24"/>
      <w:lang w:eastAsia="zh-CN" w:bidi="hi-IN"/>
    </w:rPr>
  </w:style>
  <w:style w:type="paragraph" w:customStyle="1" w:styleId="Punktaufzhlung">
    <w:name w:val="Punktaufzählung"/>
    <w:basedOn w:val="Standard"/>
    <w:rsid w:val="00E50CF4"/>
    <w:pPr>
      <w:numPr>
        <w:numId w:val="17"/>
      </w:numPr>
      <w:spacing w:before="0" w:after="0" w:line="240" w:lineRule="auto"/>
    </w:pPr>
    <w:rPr>
      <w:rFonts w:eastAsia="Times New Roman"/>
      <w:sz w:val="24"/>
      <w:szCs w:val="24"/>
      <w:lang w:eastAsia="zh-CN" w:bidi="hi-IN"/>
    </w:rPr>
  </w:style>
  <w:style w:type="paragraph" w:styleId="Kommentartext">
    <w:name w:val="annotation text"/>
    <w:basedOn w:val="Standard"/>
    <w:link w:val="KommentartextZchn"/>
    <w:semiHidden/>
    <w:unhideWhenUsed/>
    <w:rsid w:val="00325051"/>
    <w:pPr>
      <w:spacing w:line="240" w:lineRule="auto"/>
    </w:pPr>
    <w:rPr>
      <w:sz w:val="20"/>
      <w:szCs w:val="20"/>
    </w:rPr>
  </w:style>
  <w:style w:type="character" w:customStyle="1" w:styleId="KommentartextZchn">
    <w:name w:val="Kommentartext Zchn"/>
    <w:basedOn w:val="Absatz-Standardschriftart"/>
    <w:link w:val="Kommentartext"/>
    <w:semiHidden/>
    <w:rsid w:val="00325051"/>
    <w:rPr>
      <w:rFonts w:ascii="Times New Roman" w:hAnsi="Times New Roman"/>
      <w:sz w:val="20"/>
      <w:szCs w:val="20"/>
    </w:rPr>
  </w:style>
  <w:style w:type="paragraph" w:styleId="Kommentarthema">
    <w:name w:val="annotation subject"/>
    <w:basedOn w:val="Kommentartext"/>
    <w:next w:val="Kommentartext"/>
    <w:link w:val="KommentarthemaZchn"/>
    <w:semiHidden/>
    <w:unhideWhenUsed/>
    <w:rsid w:val="00325051"/>
    <w:rPr>
      <w:b/>
      <w:bCs/>
    </w:rPr>
  </w:style>
  <w:style w:type="character" w:customStyle="1" w:styleId="KommentarthemaZchn">
    <w:name w:val="Kommentarthema Zchn"/>
    <w:basedOn w:val="KommentartextZchn"/>
    <w:link w:val="Kommentarthema"/>
    <w:semiHidden/>
    <w:rsid w:val="0032505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52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15AA2094-C631-487D-9B84-302D6277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220</Words>
  <Characters>1387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2022-01-28T14:53:00Z</dcterms:created>
  <dcterms:modified xsi:type="dcterms:W3CDTF">2022-11-29T00:47:00Z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y fmtid="{D5CDD505-2E9C-101B-9397-08002B2CF9AE}" pid="11" name="MediaServiceImageTags">
    <vt:lpwstr/>
  </property>
</Properties>
</file>