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616D" w14:textId="44F8B04E" w:rsidR="00811147" w:rsidRDefault="00BF6DF7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Notfallorganisation</w:t>
      </w:r>
    </w:p>
    <w:p w14:paraId="4757616E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87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6884"/>
        <w:gridCol w:w="696"/>
        <w:gridCol w:w="762"/>
      </w:tblGrid>
      <w:tr w:rsidR="00811147" w:rsidRPr="005A5989" w14:paraId="47576171" w14:textId="77777777" w:rsidTr="00811147">
        <w:trPr>
          <w:trHeight w:val="439"/>
        </w:trPr>
        <w:tc>
          <w:tcPr>
            <w:tcW w:w="7245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4757616F" w14:textId="77777777" w:rsidR="00811147" w:rsidRPr="005A5989" w:rsidRDefault="00811147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47576170" w14:textId="77777777" w:rsidR="00811147" w:rsidRPr="005A5989" w:rsidRDefault="00811147" w:rsidP="0068358E">
            <w:pPr>
              <w:pStyle w:val="TableParagraph"/>
              <w:spacing w:before="43"/>
              <w:ind w:left="164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Antwort</w:t>
            </w:r>
          </w:p>
        </w:tc>
      </w:tr>
      <w:tr w:rsidR="00811147" w:rsidRPr="005A5989" w14:paraId="47576175" w14:textId="77777777" w:rsidTr="00BF6DF7">
        <w:trPr>
          <w:trHeight w:val="426"/>
        </w:trPr>
        <w:tc>
          <w:tcPr>
            <w:tcW w:w="7245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14:paraId="47576172" w14:textId="77777777" w:rsidR="00811147" w:rsidRPr="005A5989" w:rsidRDefault="00811147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4A4A4B"/>
            <w:vAlign w:val="center"/>
          </w:tcPr>
          <w:p w14:paraId="47576173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Ja</w:t>
            </w:r>
          </w:p>
        </w:tc>
        <w:tc>
          <w:tcPr>
            <w:tcW w:w="762" w:type="dxa"/>
            <w:tcBorders>
              <w:top w:val="nil"/>
              <w:right w:val="nil"/>
            </w:tcBorders>
            <w:shd w:val="clear" w:color="auto" w:fill="4A4A4B"/>
            <w:vAlign w:val="center"/>
          </w:tcPr>
          <w:p w14:paraId="47576174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Nein</w:t>
            </w:r>
          </w:p>
        </w:tc>
      </w:tr>
      <w:tr w:rsidR="00BF6DF7" w:rsidRPr="0097592F" w14:paraId="4757617A" w14:textId="77777777" w:rsidTr="00BF6DF7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76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1.</w:t>
            </w:r>
          </w:p>
        </w:tc>
        <w:tc>
          <w:tcPr>
            <w:tcW w:w="6884" w:type="dxa"/>
            <w:shd w:val="clear" w:color="auto" w:fill="E0E1E3"/>
          </w:tcPr>
          <w:p w14:paraId="47576177" w14:textId="77777777" w:rsidR="00BF6DF7" w:rsidRPr="00F9136D" w:rsidRDefault="00BF6DF7" w:rsidP="00BF6DF7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8B5196">
              <w:rPr>
                <w:rFonts w:asciiTheme="majorHAnsi" w:eastAsia="Calibri" w:hAnsiTheme="majorHAnsi" w:cstheme="majorHAnsi"/>
                <w:lang w:val="de-DE"/>
              </w:rPr>
              <w:t xml:space="preserve">Wir haben einen </w:t>
            </w:r>
            <w:r w:rsidRPr="008B5196">
              <w:rPr>
                <w:rFonts w:asciiTheme="majorHAnsi" w:hAnsiTheme="majorHAnsi" w:cstheme="majorHAnsi"/>
                <w:lang w:val="de-DE"/>
              </w:rPr>
              <w:t>Alarmplan erstellt.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78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color w:val="009FE4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6804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79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5867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7F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7B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2.</w:t>
            </w:r>
          </w:p>
        </w:tc>
        <w:tc>
          <w:tcPr>
            <w:tcW w:w="6884" w:type="dxa"/>
            <w:shd w:val="clear" w:color="auto" w:fill="E0E1E3"/>
          </w:tcPr>
          <w:p w14:paraId="4757617C" w14:textId="77777777" w:rsidR="00BF6DF7" w:rsidRPr="00F9136D" w:rsidRDefault="00BF6DF7" w:rsidP="00BF6DF7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8B5196">
              <w:rPr>
                <w:rFonts w:asciiTheme="majorHAnsi" w:hAnsiTheme="majorHAnsi" w:cstheme="majorHAnsi"/>
                <w:lang w:val="de-DE"/>
              </w:rPr>
              <w:t>Wir haben den Alarmplan unseren Mitarbeitern durch eine Unterweisung bekannt gemacht.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7D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9696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7E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5944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84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80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3.</w:t>
            </w:r>
          </w:p>
        </w:tc>
        <w:tc>
          <w:tcPr>
            <w:tcW w:w="6884" w:type="dxa"/>
            <w:shd w:val="clear" w:color="auto" w:fill="E0E1E3"/>
          </w:tcPr>
          <w:p w14:paraId="47576181" w14:textId="77777777" w:rsidR="00BF6DF7" w:rsidRPr="00F9136D" w:rsidRDefault="00BF6DF7" w:rsidP="00BF6DF7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FF4E74">
              <w:rPr>
                <w:rFonts w:asciiTheme="majorHAnsi" w:hAnsiTheme="majorHAnsi" w:cstheme="majorHAnsi"/>
                <w:lang w:val="de-DE"/>
              </w:rPr>
              <w:t>Wir halten unseren Alarmplan stets aktuell.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82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6921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83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7966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89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85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4.</w:t>
            </w:r>
          </w:p>
        </w:tc>
        <w:tc>
          <w:tcPr>
            <w:tcW w:w="6884" w:type="dxa"/>
            <w:shd w:val="clear" w:color="auto" w:fill="E0E1E3"/>
          </w:tcPr>
          <w:p w14:paraId="47576186" w14:textId="77777777" w:rsidR="00BF6DF7" w:rsidRPr="00F9136D" w:rsidRDefault="00BF6DF7" w:rsidP="00BF6DF7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FF4E74">
              <w:rPr>
                <w:rFonts w:asciiTheme="majorHAnsi" w:eastAsia="Calibri" w:hAnsiTheme="majorHAnsi" w:cstheme="majorHAnsi"/>
                <w:lang w:val="de-DE"/>
              </w:rPr>
              <w:t>Wir erproben unsere Alarmpläne im Rahmen von Notfallübungen, beobachten diese und nehmen dabei auch Anregungen der Mitarbeiter auf.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87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1249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88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1352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93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8F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6.</w:t>
            </w:r>
          </w:p>
        </w:tc>
        <w:tc>
          <w:tcPr>
            <w:tcW w:w="6884" w:type="dxa"/>
            <w:shd w:val="clear" w:color="auto" w:fill="E0E1E3"/>
          </w:tcPr>
          <w:p w14:paraId="47576190" w14:textId="77777777" w:rsidR="00BF6DF7" w:rsidRPr="00F9136D" w:rsidRDefault="00BF6DF7" w:rsidP="00BF6DF7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Wir haben geprüft, welche potenziellen Schadensereignisse wir durch Frühwarnsysteme möglichst schnell voraussehbar machen können.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91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4943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92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3037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98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94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7.</w:t>
            </w:r>
          </w:p>
        </w:tc>
        <w:tc>
          <w:tcPr>
            <w:tcW w:w="6884" w:type="dxa"/>
            <w:shd w:val="clear" w:color="auto" w:fill="E0E1E3"/>
          </w:tcPr>
          <w:p w14:paraId="47576195" w14:textId="77777777" w:rsidR="00BF6DF7" w:rsidRPr="00F9136D" w:rsidRDefault="00BF6DF7" w:rsidP="00BF6DF7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haben für das gesamte Unternehmen Flucht- und Rettungswege ausgewiesen.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96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900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97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5743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9D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99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8.</w:t>
            </w:r>
          </w:p>
        </w:tc>
        <w:tc>
          <w:tcPr>
            <w:tcW w:w="6884" w:type="dxa"/>
            <w:shd w:val="clear" w:color="auto" w:fill="E0E1E3"/>
          </w:tcPr>
          <w:p w14:paraId="4757619A" w14:textId="77777777" w:rsidR="00BF6DF7" w:rsidRPr="00F9136D" w:rsidRDefault="00BF6DF7" w:rsidP="00BF6DF7">
            <w:pPr>
              <w:spacing w:before="40" w:after="40" w:line="26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Unsere Flucht- und Rettungswege entsprechen den Vorgaben der ASR A2.3, z. B. hinsichtlich der Mindestbreite, Durchgangshöhe, Anforderungen an Karussell- und Schiebetüren usw.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9B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4118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9C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9050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A2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9E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9.</w:t>
            </w:r>
          </w:p>
        </w:tc>
        <w:tc>
          <w:tcPr>
            <w:tcW w:w="6884" w:type="dxa"/>
            <w:shd w:val="clear" w:color="auto" w:fill="E0E1E3"/>
          </w:tcPr>
          <w:p w14:paraId="4757619F" w14:textId="77777777" w:rsidR="00BF6DF7" w:rsidRPr="00F9136D" w:rsidRDefault="00BF6DF7" w:rsidP="00BF6DF7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Wir haben in unserer Notfall- und Fluchtwegsplanung auch die Belange von Mitarbeitern mit Behinderungen und Mobilitätseinschränkungen einbezogen.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A0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72445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A1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14288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A7" w14:textId="77777777" w:rsidTr="00BF6DF7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A3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10.</w:t>
            </w:r>
          </w:p>
        </w:tc>
        <w:tc>
          <w:tcPr>
            <w:tcW w:w="6884" w:type="dxa"/>
            <w:shd w:val="clear" w:color="auto" w:fill="E0E1E3"/>
          </w:tcPr>
          <w:p w14:paraId="475761A4" w14:textId="77777777" w:rsidR="00BF6DF7" w:rsidRPr="00F9136D" w:rsidRDefault="00BF6DF7" w:rsidP="00BF6DF7">
            <w:pPr>
              <w:spacing w:before="40" w:after="40" w:line="26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Die Flucht- und Rettungswege sind so kurz wie möglich und überschreiten nicht die maximalen Längen laut ASR A2.3.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A5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71438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A6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36842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AC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A8" w14:textId="77777777" w:rsidR="00BF6DF7" w:rsidRPr="0097592F" w:rsidRDefault="00BF6DF7" w:rsidP="00BF6DF7">
            <w:pPr>
              <w:pStyle w:val="TableParagraph"/>
              <w:spacing w:before="3"/>
              <w:ind w:right="44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11.</w:t>
            </w:r>
          </w:p>
        </w:tc>
        <w:tc>
          <w:tcPr>
            <w:tcW w:w="6884" w:type="dxa"/>
            <w:shd w:val="clear" w:color="auto" w:fill="E0E1E3"/>
          </w:tcPr>
          <w:p w14:paraId="475761A9" w14:textId="77777777" w:rsidR="00BF6DF7" w:rsidRPr="00F9136D" w:rsidRDefault="00BF6DF7" w:rsidP="00BF6DF7">
            <w:pPr>
              <w:spacing w:before="40" w:after="40" w:line="26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Flucht- und Rettungswege sowie Notausgänge sind gut sichtbar und dauerhaft nach ASR A2.3 gekennzeichnet.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AA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39821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AB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54401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B1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AD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12.</w:t>
            </w:r>
          </w:p>
        </w:tc>
        <w:tc>
          <w:tcPr>
            <w:tcW w:w="6884" w:type="dxa"/>
            <w:shd w:val="clear" w:color="auto" w:fill="E0E1E3"/>
          </w:tcPr>
          <w:p w14:paraId="475761AE" w14:textId="77777777" w:rsidR="00BF6DF7" w:rsidRPr="00F9136D" w:rsidRDefault="00BF6DF7" w:rsidP="00BF6DF7">
            <w:pPr>
              <w:spacing w:before="40" w:after="40" w:line="26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Flucht- und Rettungswege sowie Notausgänge sind gut ausgeleuchtet.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AF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61332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B0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136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B6" w14:textId="77777777" w:rsidTr="00DC2A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B2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13.</w:t>
            </w:r>
          </w:p>
        </w:tc>
        <w:tc>
          <w:tcPr>
            <w:tcW w:w="6884" w:type="dxa"/>
            <w:shd w:val="clear" w:color="auto" w:fill="E0E1E3"/>
            <w:vAlign w:val="center"/>
          </w:tcPr>
          <w:p w14:paraId="475761B3" w14:textId="77777777" w:rsidR="00BF6DF7" w:rsidRPr="00F9136D" w:rsidRDefault="00BF6DF7" w:rsidP="00BF6DF7">
            <w:pPr>
              <w:spacing w:before="40" w:after="40" w:line="26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All Türen im Fluchtwegsverlauf lassen sich leicht und ohne Hilfsmittel öffnen.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B4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62565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B5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8397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BB" w14:textId="77777777" w:rsidTr="0093104B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B7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14.</w:t>
            </w:r>
          </w:p>
        </w:tc>
        <w:tc>
          <w:tcPr>
            <w:tcW w:w="6884" w:type="dxa"/>
            <w:shd w:val="clear" w:color="auto" w:fill="E0E1E3"/>
            <w:vAlign w:val="center"/>
          </w:tcPr>
          <w:p w14:paraId="475761B8" w14:textId="77777777" w:rsidR="00BF6DF7" w:rsidRPr="00F9136D" w:rsidRDefault="00BF6DF7" w:rsidP="00BF6DF7">
            <w:pPr>
              <w:spacing w:before="40" w:after="40" w:line="24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Alle Türen von Notausgängen schlagen nach außen hin auf.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B9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30616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BA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5402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C0" w14:textId="77777777" w:rsidTr="00DF448B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BC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15.</w:t>
            </w:r>
          </w:p>
        </w:tc>
        <w:tc>
          <w:tcPr>
            <w:tcW w:w="6884" w:type="dxa"/>
            <w:shd w:val="clear" w:color="auto" w:fill="E0E1E3"/>
            <w:vAlign w:val="center"/>
          </w:tcPr>
          <w:p w14:paraId="475761BD" w14:textId="77777777" w:rsidR="00BF6DF7" w:rsidRPr="00F9136D" w:rsidRDefault="00BF6DF7" w:rsidP="00BF6DF7">
            <w:pPr>
              <w:spacing w:before="40" w:after="40" w:line="24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Alle Notausgänge führen in gesicherte Bereiche bzw. andere Brandabschnitte.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BE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18162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BF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01392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C5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C1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16.</w:t>
            </w:r>
          </w:p>
        </w:tc>
        <w:tc>
          <w:tcPr>
            <w:tcW w:w="6884" w:type="dxa"/>
            <w:shd w:val="clear" w:color="auto" w:fill="E0E1E3"/>
          </w:tcPr>
          <w:p w14:paraId="475761C2" w14:textId="77777777" w:rsidR="00BF6DF7" w:rsidRPr="00F9136D" w:rsidRDefault="00BF6DF7" w:rsidP="00BF6DF7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prüfen – in auch unregelmäßigen Abständen –, dass Flucht- und Rettungswege stets frei und benutzbar sind. Bei Verstößen wie z. B. Warenanlieferungen vor Notausgängen oder im Fluchtweg abgestellte Hubwagen sprechen wir die verursachenden Mitarbeiter direkt an.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C3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5673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C4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57219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CA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C6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17.</w:t>
            </w:r>
          </w:p>
        </w:tc>
        <w:tc>
          <w:tcPr>
            <w:tcW w:w="6884" w:type="dxa"/>
            <w:shd w:val="clear" w:color="auto" w:fill="E0E1E3"/>
          </w:tcPr>
          <w:p w14:paraId="475761C7" w14:textId="77777777" w:rsidR="00BF6DF7" w:rsidRPr="00F9136D" w:rsidRDefault="00BF6DF7" w:rsidP="00BF6DF7">
            <w:pPr>
              <w:spacing w:before="40" w:after="40" w:line="24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haben sichergestellt, dass die für den Betrieb vorgesehenen Notausgänge auch von außen gekennzeichnet sind und ein Zustellen oder Zuparken (z. B. im öffentlichen Verkehrsraum) verhindert wird.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C8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41539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C9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65283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CF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CB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18.</w:t>
            </w:r>
          </w:p>
        </w:tc>
        <w:tc>
          <w:tcPr>
            <w:tcW w:w="6884" w:type="dxa"/>
            <w:shd w:val="clear" w:color="auto" w:fill="E0E1E3"/>
          </w:tcPr>
          <w:p w14:paraId="475761CC" w14:textId="77777777" w:rsidR="00BF6DF7" w:rsidRPr="00F9136D" w:rsidRDefault="00BF6DF7" w:rsidP="00BF6DF7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In einer Gefährdungsbeurteilung haben wir geprüft, ob wir Flucht- und Rettungspläne benötigen.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CD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9199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CE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63536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D4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D0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lang w:val="de-DE"/>
              </w:rPr>
            </w:pPr>
            <w:r w:rsidRPr="0097592F">
              <w:rPr>
                <w:rFonts w:asciiTheme="majorHAnsi" w:hAnsiTheme="majorHAnsi" w:cstheme="majorHAnsi"/>
                <w:color w:val="231F20"/>
                <w:lang w:val="de-DE"/>
              </w:rPr>
              <w:t>19.</w:t>
            </w:r>
          </w:p>
        </w:tc>
        <w:tc>
          <w:tcPr>
            <w:tcW w:w="6884" w:type="dxa"/>
            <w:shd w:val="clear" w:color="auto" w:fill="E0E1E3"/>
          </w:tcPr>
          <w:p w14:paraId="475761D1" w14:textId="77777777" w:rsidR="00BF6DF7" w:rsidRPr="00F9136D" w:rsidRDefault="00BF6DF7" w:rsidP="00BF6DF7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Alle Flucht- und Rettungspläne hängen in ausreichender Häufigkeit an geeigneten Stellen in angemessener Höhe aus.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D2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72641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D3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50803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DF7" w:rsidRPr="0097592F">
                  <w:rPr>
                    <w:rFonts w:ascii="Segoe UI Symbol" w:eastAsia="MS Gothic" w:hAnsi="Segoe UI Symbol" w:cs="Segoe UI Symbol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BF6DF7" w:rsidRPr="0097592F" w14:paraId="475761D9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D5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1D6" w14:textId="77777777" w:rsidR="00BF6DF7" w:rsidRPr="00F9136D" w:rsidRDefault="00BF6DF7" w:rsidP="00BF6DF7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 xml:space="preserve">Die Aushangstellen für Alarm, Flucht- und Rettungspläne sind so </w:t>
            </w:r>
            <w:r w:rsidRPr="005800DE">
              <w:rPr>
                <w:rFonts w:asciiTheme="majorHAnsi" w:eastAsia="Calibri" w:hAnsiTheme="majorHAnsi" w:cstheme="majorHAnsi"/>
              </w:rPr>
              <w:lastRenderedPageBreak/>
              <w:t>gewählt, dass sie auch bei Ausfall der Allgemeinbeleuchtung lesbar bleiben.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D7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62789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D8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15626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BF6DF7" w:rsidRPr="0097592F" w14:paraId="475761DE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DA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1DB" w14:textId="77777777" w:rsidR="00BF6DF7" w:rsidRPr="00F9136D" w:rsidRDefault="00BF6DF7" w:rsidP="00BF6DF7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Unsere Brandschutzeinrichtungen sind auf dem Stand der Technik und werden regelmäßig kontrolliert.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DC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41898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DD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19854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BF6DF7" w:rsidRPr="0097592F" w14:paraId="475761E3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DF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1E0" w14:textId="77777777" w:rsidR="00BF6DF7" w:rsidRPr="00F9136D" w:rsidRDefault="00BF6DF7" w:rsidP="00BF6DF7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Geeignete Löschmittel und Feuerlöscher sind im gesamten Betrieb an gut erreichbaren Stellen vorhanden.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E1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41647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E2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04996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BF6DF7" w:rsidRPr="0097592F" w14:paraId="475761E8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E4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1E5" w14:textId="77777777" w:rsidR="00BF6DF7" w:rsidRPr="00F9136D" w:rsidRDefault="00BF6DF7" w:rsidP="00BF6DF7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Unsere Mitarbeiter haben gelernt, wie man Feuerlöscher bedient, und dies so lange geübt, bis keiner mehr Scheu hat, einen Feuerlöscher im Notfall zu benutzen.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E6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09546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E7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0832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BF6DF7" w:rsidRPr="0097592F" w14:paraId="475761F2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EE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1EF" w14:textId="77777777" w:rsidR="00BF6DF7" w:rsidRPr="00F9136D" w:rsidRDefault="00BF6DF7" w:rsidP="00BF6DF7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führen auch für alle Betriebsneulinge und Auszubildende Brandschutzunterweisungen und Feuerlöschübungen durch.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F0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85944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F1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3225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BF6DF7" w:rsidRPr="0097592F" w14:paraId="475761F7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F3" w14:textId="77777777" w:rsidR="00BF6DF7" w:rsidRPr="0097592F" w:rsidRDefault="00BF6DF7" w:rsidP="00BF6DF7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1F4" w14:textId="77777777" w:rsidR="00BF6DF7" w:rsidRPr="00F9136D" w:rsidRDefault="00BF6DF7" w:rsidP="00BF6DF7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 xml:space="preserve">Wir haben die lokale Feuerwehr über die in unserem Unternehmen eingesetzten Gefahrstoffe und andere bei uns vorhandene Brandlasten informiert.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F5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32701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F6" w14:textId="77777777" w:rsidR="00BF6DF7" w:rsidRPr="0097592F" w:rsidRDefault="00000000" w:rsidP="00BF6DF7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95845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1FC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F8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1F9" w14:textId="77777777" w:rsidR="0097592F" w:rsidRPr="00F9136D" w:rsidRDefault="0097592F" w:rsidP="0097592F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Bei von der Gemeinde angesetzten Brandverhütungsschauen oder Brandschutzübungen der lokalen Feuerwehr sind wir kooperativ und unterstützen die Veranstaltungen als willkommene Vorbereitung für einen Ernstfall.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FA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89789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1FB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76949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01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1FD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1FE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organisieren Evakuierungs- und Räumungsübungen in angemessenen Zeitabständen.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1FF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9994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00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91470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06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02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03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haben festgelegt, auf welche Weise die Vollzähligkeit an Sammelplätzen kontrolliert wird.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04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5045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05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8212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0B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07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08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haben in Notfall-, Rettungs- und Räumungsszenarien auch die Belange von Mitarbeitern (oder Kunden, Besuchern usw.) mit eingeschränkter Mobilität berücksichtigt.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09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90033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0A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88876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10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0C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0D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haben in unserer Gefährdungsbeurteilung geprüft, welche Meldeeinrichtungen und Rettungstransportmittel für welche Betriebsteile notwendig sind.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0E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1093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0F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52007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15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11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12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haben Erste-Hilfe-Einrichtungen installiert, ihre Standorte, gekennzeichnet und prüfen regelmäßig deren ordnungsgemäßen Zustand.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13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568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14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36019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1A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16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17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 xml:space="preserve">Unsere Erste-Hilfe-Kästen werden regelmäßig auf ihren Zustand, Vollständigkeit und Ablaufdaten der Inhalte geprüft und ggf. nachgefüllt.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18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3259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19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2067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1F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1B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1C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 xml:space="preserve">Die vorhandenen Gerätschaften für Erste Hilfe und Rettung sind stets voll funktionsfähig, wir prüfen dies regelmäßig.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1D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00096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1E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35743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29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25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26" w14:textId="77777777" w:rsidR="0097592F" w:rsidRPr="005800DE" w:rsidRDefault="0097592F" w:rsidP="0097592F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  <w:lang w:val="de-DE"/>
              </w:rPr>
              <w:t>An zentraler Stelle haben wir einen AED (Automatisierter Externer Defibrillator) platziert (sinnvoll, aber keine Pflicht) und unsere Beschäftigen zu dessen Anwendung bei Herzkreislauf-Stillstand und Herzinfarkt unterwiesen.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27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09843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28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97976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2E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2A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2B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 xml:space="preserve">In unserem Betrieb gibt es eine ausreichende Zahl ausgebildeter Ersthelfer.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2C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0779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2D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09098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33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2F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30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Wir achten beim Einteilen von Schichtplänen, Urlaubszeiten usw. darauf, dass stets genügend Ersthelfer in jedem Betriebsteil anwesend sind.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31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9611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32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43385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38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34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35" w14:textId="77777777" w:rsidR="0097592F" w:rsidRPr="00F9136D" w:rsidRDefault="0097592F" w:rsidP="0097592F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Wir haben geprüft, wo Sicherheits- oder Notbeleuchtungen nach ASR A3.4/3 notwendig sind und diese installiert.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36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6521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37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04714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3D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39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3A" w14:textId="77777777" w:rsidR="0097592F" w:rsidRPr="00F9136D" w:rsidRDefault="0097592F" w:rsidP="0097592F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 xml:space="preserve">Alle Sicherheitseinrichtungen wie Alarmierungs- und Meldesysteme </w:t>
            </w:r>
            <w:r w:rsidRPr="005800DE">
              <w:rPr>
                <w:rFonts w:asciiTheme="majorHAnsi" w:eastAsia="Calibri" w:hAnsiTheme="majorHAnsi" w:cstheme="majorHAnsi"/>
              </w:rPr>
              <w:lastRenderedPageBreak/>
              <w:t xml:space="preserve">Sicherheitsbeleuchtungen oder elektrische Verriegelungen von Notausgängen usw. werden in regelmäßigen Abständen sachgerecht gewartet und ihr einwandfreies Funktionieren kontrolliert.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3B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71488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3C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06846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42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3E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3F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Alle Prüfungen und Kontrollen zu Notfalleinrichtungen werden in einem Prüfprotokoll festgehalten.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40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38241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41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36326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47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43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44" w14:textId="77777777" w:rsidR="0097592F" w:rsidRPr="0097592F" w:rsidRDefault="0097592F" w:rsidP="0097592F">
            <w:pPr>
              <w:spacing w:before="40" w:after="40" w:line="260" w:lineRule="atLeast"/>
              <w:rPr>
                <w:rFonts w:asciiTheme="majorHAnsi" w:eastAsia="Calibri" w:hAnsiTheme="majorHAnsi" w:cstheme="majorHAnsi"/>
              </w:rPr>
            </w:pPr>
            <w:r w:rsidRPr="005800DE">
              <w:rPr>
                <w:rFonts w:asciiTheme="majorHAnsi" w:hAnsiTheme="majorHAnsi" w:cstheme="majorHAnsi"/>
              </w:rPr>
              <w:t xml:space="preserve">Die innerbetrieblichen Meldeketten funktionieren und die technischen Kommunikationswege sind intakt, Notrufstellen oder Leitwarte, Pforte usw. können stets von allen Betriebsbereichen aus erreicht werden. </w:t>
            </w:r>
            <w:r w:rsidRPr="0097592F">
              <w:rPr>
                <w:rFonts w:asciiTheme="majorHAnsi" w:hAnsiTheme="majorHAnsi" w:cstheme="majorHAnsi"/>
              </w:rPr>
              <w:t>Dies testen wir in angemessenen Zeitabständen.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45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53948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46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50866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4C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48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49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Für unübersichtliche Betriebsbereiche, schwer zugängliche Arbeitsstätten, enge Zufahrten usw. haben wir Anweisungen erstellt, wie im Gefahrenfall Rettungskräfte auf schnellstem Wege zum Notfallort eingewiesen werden.</w:t>
            </w:r>
            <w:r w:rsidRPr="005800D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4A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1945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4B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14127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56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52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53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haben organisiert, dass auch alle Mitarbeiter von Fremdfirmen, externe Reinigungskräfte, Security-Dienstleister usw., die sich im Betrieb oder auf dem Betriebsgelände bewegen, zu Alarmplänen und Notfallmaßnahmen unterwiesen werden.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54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8419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55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3200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5B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57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58" w14:textId="77777777" w:rsidR="0097592F" w:rsidRPr="00F9136D" w:rsidRDefault="0097592F" w:rsidP="0097592F">
            <w:pPr>
              <w:spacing w:before="40" w:after="40" w:line="26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Alleinarbeitende Mitarbeiter haben wir mit Notrufsystemen ausgestattet und diese zur Benutzung und zum Verhalten im Notfall unterwiesen.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59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6438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5A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4888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60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5C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5D" w14:textId="77777777" w:rsidR="0097592F" w:rsidRPr="00F9136D" w:rsidRDefault="0097592F" w:rsidP="0097592F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 xml:space="preserve">Unsere Notfallvorsorge berücksichtigt auch die Situation von sehschwachen oder hörschwachen Mitarbeitern. Hinsichtlich optischer und akustischer Kennzeichnungen und Alarmierungssysteme gehen wir nach dem Zwei-Sinne-Prinzip vor.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5E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56880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5F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1331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65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61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62" w14:textId="77777777" w:rsidR="0097592F" w:rsidRPr="005800DE" w:rsidRDefault="0097592F" w:rsidP="0097592F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  <w:lang w:val="de-DE"/>
              </w:rPr>
              <w:t xml:space="preserve">Wir haben ein Konzept erstellt, wer bei Notfällen, die auch die Umgebung betreffen, etwa durch gesundheitsschädliche Immissionen, auf welche Weise Nachbarschaft und Anwohner informiert.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63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8585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64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32559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6A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66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67" w14:textId="77777777" w:rsidR="0097592F" w:rsidRPr="00F9136D" w:rsidRDefault="0097592F" w:rsidP="0097592F">
            <w:pPr>
              <w:spacing w:before="40" w:after="40" w:line="240" w:lineRule="atLeast"/>
              <w:rPr>
                <w:rFonts w:asciiTheme="majorHAns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haben festgelegt, wer sich nach einem Unfall an die Öffentlichkeit und die Medien wendet.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68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03557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69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6309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6F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6B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6C" w14:textId="77777777" w:rsidR="0097592F" w:rsidRPr="00F9136D" w:rsidRDefault="0097592F" w:rsidP="0097592F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hAnsiTheme="majorHAnsi" w:cstheme="majorHAnsi"/>
              </w:rPr>
              <w:t>Wir haben organisiert, wie Unfallzeugen und Ersthelfer nach einem traumatischen Ereignis physisch und psychisch betreut werden.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6D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729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6E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82423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74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70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71" w14:textId="77777777" w:rsidR="0097592F" w:rsidRPr="00F9136D" w:rsidRDefault="0097592F" w:rsidP="0097592F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Notfälle und auch Beinahe-Notfälle dokumentieren wir und prüfen, inwiefern Notfallmaßnahmen und -pläne angepasst werden müssen.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72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2081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73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60381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  <w:tr w:rsidR="0097592F" w:rsidRPr="0097592F" w14:paraId="47576279" w14:textId="77777777" w:rsidTr="00BF6DF7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576275" w14:textId="77777777" w:rsidR="0097592F" w:rsidRPr="0097592F" w:rsidRDefault="0097592F" w:rsidP="0097592F">
            <w:pPr>
              <w:pStyle w:val="TableParagraph"/>
              <w:spacing w:before="3"/>
              <w:ind w:right="46"/>
              <w:jc w:val="right"/>
              <w:rPr>
                <w:rFonts w:asciiTheme="majorHAnsi" w:hAnsiTheme="majorHAnsi" w:cstheme="majorHAnsi"/>
                <w:color w:val="231F20"/>
              </w:rPr>
            </w:pPr>
          </w:p>
        </w:tc>
        <w:tc>
          <w:tcPr>
            <w:tcW w:w="6884" w:type="dxa"/>
            <w:shd w:val="clear" w:color="auto" w:fill="E0E1E3"/>
          </w:tcPr>
          <w:p w14:paraId="47576276" w14:textId="77777777" w:rsidR="0097592F" w:rsidRPr="00F9136D" w:rsidRDefault="0097592F" w:rsidP="0097592F">
            <w:pPr>
              <w:spacing w:before="40" w:after="40" w:line="240" w:lineRule="atLeast"/>
              <w:rPr>
                <w:rFonts w:asciiTheme="majorHAnsi" w:eastAsia="Calibri" w:hAnsiTheme="majorHAnsi" w:cstheme="majorHAnsi"/>
                <w:lang w:val="de-DE"/>
              </w:rPr>
            </w:pPr>
            <w:r w:rsidRPr="005800DE">
              <w:rPr>
                <w:rFonts w:asciiTheme="majorHAnsi" w:eastAsia="Calibri" w:hAnsiTheme="majorHAnsi" w:cstheme="majorHAnsi"/>
              </w:rPr>
              <w:t>Jedes Notfallereignis wird anschließend von der Betriebsleitung und den Sicherheitsverantwortlichen unter Einbezug der Beschäftigten analysiert und ausgewertet.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7576277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5555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576278" w14:textId="77777777" w:rsidR="0097592F" w:rsidRPr="0097592F" w:rsidRDefault="00000000" w:rsidP="0097592F">
            <w:pPr>
              <w:pStyle w:val="TableParagraph"/>
              <w:jc w:val="center"/>
              <w:rPr>
                <w:rFonts w:asciiTheme="majorHAnsi" w:eastAsia="MS Gothic" w:hAnsiTheme="majorHAnsi" w:cstheme="majorHAnsi"/>
                <w:color w:val="4A4A4B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37281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9AE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4757627A" w14:textId="77777777" w:rsidR="006C27EC" w:rsidRPr="0097592F" w:rsidRDefault="006C27EC" w:rsidP="00811147">
      <w:pPr>
        <w:pStyle w:val="Checkliste"/>
        <w:rPr>
          <w:rFonts w:asciiTheme="majorHAnsi" w:hAnsiTheme="majorHAnsi" w:cstheme="majorHAnsi"/>
        </w:rPr>
      </w:pPr>
    </w:p>
    <w:sectPr w:rsidR="006C27EC" w:rsidRPr="0097592F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A707" w14:textId="77777777" w:rsidR="00612BE1" w:rsidRDefault="00612BE1" w:rsidP="008B0457">
      <w:pPr>
        <w:spacing w:line="240" w:lineRule="auto"/>
      </w:pPr>
      <w:r>
        <w:separator/>
      </w:r>
    </w:p>
  </w:endnote>
  <w:endnote w:type="continuationSeparator" w:id="0">
    <w:p w14:paraId="56CAA589" w14:textId="77777777" w:rsidR="00612BE1" w:rsidRDefault="00612BE1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CA3D" w14:textId="77777777" w:rsidR="008B5196" w:rsidRDefault="008B51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6280" w14:textId="23E0123C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7576286" wp14:editId="4757628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21F1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5800DE" w:rsidRPr="005800DE">
      <w:rPr>
        <w:rFonts w:asciiTheme="majorHAnsi" w:hAnsiTheme="majorHAnsi" w:cstheme="majorHAnsi"/>
        <w:noProof/>
        <w:sz w:val="16"/>
        <w:lang w:bidi="de-DE"/>
      </w:rPr>
      <w:t>3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47576281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FD80" w14:textId="77777777" w:rsidR="008B5196" w:rsidRDefault="008B51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779A" w14:textId="77777777" w:rsidR="00612BE1" w:rsidRDefault="00612BE1" w:rsidP="008B0457">
      <w:pPr>
        <w:spacing w:line="240" w:lineRule="auto"/>
      </w:pPr>
      <w:r>
        <w:separator/>
      </w:r>
    </w:p>
  </w:footnote>
  <w:footnote w:type="continuationSeparator" w:id="0">
    <w:p w14:paraId="7DD325A3" w14:textId="77777777" w:rsidR="00612BE1" w:rsidRDefault="00612BE1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55C1" w14:textId="77777777" w:rsidR="008B5196" w:rsidRDefault="008B51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627F" w14:textId="13778B5F" w:rsidR="00C67D68" w:rsidRDefault="00FF4E7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6C2A6F96" wp14:editId="34CDE43A">
          <wp:simplePos x="0" y="0"/>
          <wp:positionH relativeFrom="margin">
            <wp:posOffset>0</wp:posOffset>
          </wp:positionH>
          <wp:positionV relativeFrom="paragraph">
            <wp:posOffset>284953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7576282" wp14:editId="71DBAC8D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53C0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D7E6" w14:textId="77777777" w:rsidR="008B5196" w:rsidRDefault="008B51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12790">
    <w:abstractNumId w:val="3"/>
  </w:num>
  <w:num w:numId="2" w16cid:durableId="27920000">
    <w:abstractNumId w:val="4"/>
  </w:num>
  <w:num w:numId="3" w16cid:durableId="1062292849">
    <w:abstractNumId w:val="5"/>
  </w:num>
  <w:num w:numId="4" w16cid:durableId="1183931031">
    <w:abstractNumId w:val="2"/>
  </w:num>
  <w:num w:numId="5" w16cid:durableId="1797527904">
    <w:abstractNumId w:val="6"/>
  </w:num>
  <w:num w:numId="6" w16cid:durableId="1403603306">
    <w:abstractNumId w:val="1"/>
  </w:num>
  <w:num w:numId="7" w16cid:durableId="45128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1421CE"/>
    <w:rsid w:val="00165555"/>
    <w:rsid w:val="00181F90"/>
    <w:rsid w:val="00194FA3"/>
    <w:rsid w:val="002A0996"/>
    <w:rsid w:val="002B1C90"/>
    <w:rsid w:val="002D5565"/>
    <w:rsid w:val="003A77CE"/>
    <w:rsid w:val="005800DE"/>
    <w:rsid w:val="00585E82"/>
    <w:rsid w:val="005A5989"/>
    <w:rsid w:val="00612BE1"/>
    <w:rsid w:val="006259A1"/>
    <w:rsid w:val="00675F78"/>
    <w:rsid w:val="006C0196"/>
    <w:rsid w:val="006C0AED"/>
    <w:rsid w:val="006C27EC"/>
    <w:rsid w:val="006C444D"/>
    <w:rsid w:val="007B39AE"/>
    <w:rsid w:val="0081053B"/>
    <w:rsid w:val="00811147"/>
    <w:rsid w:val="008B0457"/>
    <w:rsid w:val="008B5196"/>
    <w:rsid w:val="0097592F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BF6DF7"/>
    <w:rsid w:val="00C67D68"/>
    <w:rsid w:val="00D00296"/>
    <w:rsid w:val="00D141B9"/>
    <w:rsid w:val="00D41208"/>
    <w:rsid w:val="00E42E27"/>
    <w:rsid w:val="00E71676"/>
    <w:rsid w:val="00EE14B4"/>
    <w:rsid w:val="00F06AF6"/>
    <w:rsid w:val="00F554B5"/>
    <w:rsid w:val="00F5564F"/>
    <w:rsid w:val="00F6243E"/>
    <w:rsid w:val="00F82C15"/>
    <w:rsid w:val="00F9136D"/>
    <w:rsid w:val="00F93095"/>
    <w:rsid w:val="00FA0816"/>
    <w:rsid w:val="00FB4A42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76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styleId="berarbeitung">
    <w:name w:val="Revision"/>
    <w:hidden/>
    <w:semiHidden/>
    <w:rsid w:val="00F9136D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CB9702-B3BB-465E-B939-60C9DA7E3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3</Pages>
  <Words>970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2022-10-21T13:52:00Z</dcterms:created>
  <dcterms:modified xsi:type="dcterms:W3CDTF">2022-11-29T00:47:00Z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