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84889" w14:textId="77777777" w:rsidR="00B33E3F" w:rsidRDefault="00B33E3F" w:rsidP="00B33E3F">
      <w:pPr>
        <w:rPr>
          <w:rFonts w:cstheme="minorHAnsi"/>
        </w:rPr>
      </w:pPr>
      <w:r>
        <w:rPr>
          <w:rFonts w:cstheme="minorHAnsi"/>
        </w:rPr>
        <w:t>Ü-Bindungsdauer</w:t>
      </w:r>
    </w:p>
    <w:p w14:paraId="63E395F8" w14:textId="77777777" w:rsidR="00B33E3F" w:rsidRDefault="00B33E3F" w:rsidP="00B33E3F">
      <w:pPr>
        <w:rPr>
          <w:rFonts w:cstheme="minorHAnsi"/>
        </w:rPr>
      </w:pPr>
    </w:p>
    <w:p w14:paraId="2CFD4202" w14:textId="77777777" w:rsidR="00B33E3F" w:rsidRPr="00765EA8" w:rsidRDefault="00B33E3F" w:rsidP="00B33E3F">
      <w:pPr>
        <w:rPr>
          <w:rFonts w:cstheme="minorHAnsi"/>
          <w:b/>
          <w:bCs/>
        </w:rPr>
      </w:pPr>
      <w:r w:rsidRPr="00765EA8">
        <w:rPr>
          <w:rFonts w:cstheme="minorHAnsi"/>
          <w:b/>
          <w:bCs/>
        </w:rPr>
        <w:t>Folgende Grundsätze hat die Rechtsprechung zur Bindungsdauer entwickelt:</w:t>
      </w:r>
    </w:p>
    <w:p w14:paraId="0ADA0452" w14:textId="77777777" w:rsidR="00B33E3F" w:rsidRDefault="00B33E3F" w:rsidP="00B33E3F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B33E3F" w14:paraId="3E0209FD" w14:textId="77777777" w:rsidTr="00133655">
        <w:tc>
          <w:tcPr>
            <w:tcW w:w="4528" w:type="dxa"/>
          </w:tcPr>
          <w:p w14:paraId="68E47D1A" w14:textId="77777777" w:rsidR="00B33E3F" w:rsidRPr="00765EA8" w:rsidRDefault="00B33E3F" w:rsidP="00133655">
            <w:pPr>
              <w:rPr>
                <w:rFonts w:cstheme="minorHAnsi"/>
                <w:b/>
                <w:bCs/>
              </w:rPr>
            </w:pPr>
            <w:r w:rsidRPr="00765EA8">
              <w:rPr>
                <w:rFonts w:cstheme="minorHAnsi"/>
                <w:b/>
                <w:bCs/>
              </w:rPr>
              <w:t>Höhe der Gratifikation</w:t>
            </w:r>
          </w:p>
        </w:tc>
        <w:tc>
          <w:tcPr>
            <w:tcW w:w="4528" w:type="dxa"/>
          </w:tcPr>
          <w:p w14:paraId="20A03AF2" w14:textId="77777777" w:rsidR="00B33E3F" w:rsidRPr="00765EA8" w:rsidRDefault="00B33E3F" w:rsidP="00133655">
            <w:pPr>
              <w:rPr>
                <w:rFonts w:cstheme="minorHAnsi"/>
                <w:b/>
                <w:bCs/>
              </w:rPr>
            </w:pPr>
            <w:r w:rsidRPr="00765EA8">
              <w:rPr>
                <w:rFonts w:cstheme="minorHAnsi"/>
                <w:b/>
                <w:bCs/>
              </w:rPr>
              <w:t>Folge</w:t>
            </w:r>
          </w:p>
        </w:tc>
      </w:tr>
      <w:tr w:rsidR="00B33E3F" w14:paraId="2B5C0C40" w14:textId="77777777" w:rsidTr="00133655">
        <w:tc>
          <w:tcPr>
            <w:tcW w:w="4528" w:type="dxa"/>
          </w:tcPr>
          <w:p w14:paraId="6F4611F6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bis zu 100 €</w:t>
            </w:r>
          </w:p>
        </w:tc>
        <w:tc>
          <w:tcPr>
            <w:tcW w:w="4528" w:type="dxa"/>
          </w:tcPr>
          <w:p w14:paraId="6E2C0F83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Keine Rückzahlungsverpflichtung möglich, da die Zahlung zu gering ist</w:t>
            </w:r>
          </w:p>
        </w:tc>
      </w:tr>
      <w:tr w:rsidR="00B33E3F" w14:paraId="3CD3EE57" w14:textId="77777777" w:rsidTr="00133655">
        <w:tc>
          <w:tcPr>
            <w:tcW w:w="4528" w:type="dxa"/>
          </w:tcPr>
          <w:p w14:paraId="054ED03D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über 100 €, aber weniger als ein Monatsgehalt</w:t>
            </w:r>
          </w:p>
        </w:tc>
        <w:tc>
          <w:tcPr>
            <w:tcW w:w="4528" w:type="dxa"/>
          </w:tcPr>
          <w:p w14:paraId="3B977799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Bindung bis zum 31.3. des Folgejahres möglich (BAG 25.4.2007, Az. 10 AZR 634/06)</w:t>
            </w:r>
          </w:p>
        </w:tc>
      </w:tr>
      <w:tr w:rsidR="00B33E3F" w14:paraId="4355B15E" w14:textId="77777777" w:rsidTr="00133655">
        <w:tc>
          <w:tcPr>
            <w:tcW w:w="4528" w:type="dxa"/>
          </w:tcPr>
          <w:p w14:paraId="296B5D91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genau ein Bruttomonatsgehalt</w:t>
            </w:r>
          </w:p>
        </w:tc>
        <w:tc>
          <w:tcPr>
            <w:tcW w:w="4528" w:type="dxa"/>
          </w:tcPr>
          <w:p w14:paraId="16F154FA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Bindung bis maximal zum 30.6.des Folgejahres zulässig (BAG, 25.9.2002, Az. 10 AZR 7/02)</w:t>
            </w:r>
          </w:p>
        </w:tc>
      </w:tr>
      <w:tr w:rsidR="00B33E3F" w14:paraId="56E1DB66" w14:textId="77777777" w:rsidTr="00133655">
        <w:tc>
          <w:tcPr>
            <w:tcW w:w="4528" w:type="dxa"/>
          </w:tcPr>
          <w:p w14:paraId="498245FB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bis zu 2 Monatsgehältern</w:t>
            </w:r>
          </w:p>
        </w:tc>
        <w:tc>
          <w:tcPr>
            <w:tcW w:w="4528" w:type="dxa"/>
          </w:tcPr>
          <w:p w14:paraId="25C37811" w14:textId="77777777" w:rsidR="00B33E3F" w:rsidRDefault="00B33E3F" w:rsidP="00133655">
            <w:pPr>
              <w:rPr>
                <w:rFonts w:cstheme="minorHAnsi"/>
              </w:rPr>
            </w:pPr>
            <w:r>
              <w:rPr>
                <w:rFonts w:cstheme="minorHAnsi"/>
              </w:rPr>
              <w:t>Bindungsdauer bis zum 30.9. des Folgejahres, sofern der Mitarbeiter bis dahin mehrere Kündigungsmöglichkeiten hatte</w:t>
            </w:r>
          </w:p>
        </w:tc>
      </w:tr>
    </w:tbl>
    <w:p w14:paraId="0C9AF4D3" w14:textId="77777777" w:rsidR="00EA4C1B" w:rsidRDefault="00EA4C1B"/>
    <w:sectPr w:rsidR="00EA4C1B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3F"/>
    <w:rsid w:val="00153551"/>
    <w:rsid w:val="004C71B6"/>
    <w:rsid w:val="00664AAB"/>
    <w:rsid w:val="007A580F"/>
    <w:rsid w:val="008B2A09"/>
    <w:rsid w:val="0094513C"/>
    <w:rsid w:val="00B33E3F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A36AC"/>
  <w15:chartTrackingRefBased/>
  <w15:docId w15:val="{712337B0-5E78-BE44-AA62-0AB99782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3E3F"/>
  </w:style>
  <w:style w:type="paragraph" w:styleId="berschrift1">
    <w:name w:val="heading 1"/>
    <w:basedOn w:val="Standard"/>
    <w:next w:val="Standard"/>
    <w:link w:val="berschrift1Zchn"/>
    <w:uiPriority w:val="9"/>
    <w:qFormat/>
    <w:rsid w:val="00B3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3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3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3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3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33E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33E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33E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33E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3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3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3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33E3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33E3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33E3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33E3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33E3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33E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33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3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33E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3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33E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33E3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33E3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33E3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3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33E3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33E3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33E3F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513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2026-04-26T15:27:00Z</dcterms:created>
  <dcterms:modified xsi:type="dcterms:W3CDTF">2026-04-26T15:27:00Z</dcterms:modified>
</cp:coreProperties>
</file>