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2374"/>
        <w:gridCol w:w="6688"/>
      </w:tblGrid>
      <w:tr w:rsidR="00B12ACE" w:rsidRPr="00B12ACE" w14:paraId="3013EE9A" w14:textId="77777777" w:rsidTr="0094092C">
        <w:tc>
          <w:tcPr>
            <w:tcW w:w="9288" w:type="dxa"/>
            <w:gridSpan w:val="2"/>
          </w:tcPr>
          <w:p w14:paraId="09B2EBFD" w14:textId="7049B4CE" w:rsidR="00B12ACE" w:rsidRPr="00B12ACE" w:rsidRDefault="00B12ACE" w:rsidP="00B12ACE">
            <w:pPr>
              <w:spacing w:line="276" w:lineRule="auto"/>
              <w:rPr>
                <w:sz w:val="18"/>
                <w:szCs w:val="18"/>
              </w:rPr>
            </w:pPr>
            <w:r w:rsidRPr="00B12ACE">
              <w:rPr>
                <w:sz w:val="18"/>
                <w:szCs w:val="18"/>
              </w:rPr>
              <w:t>Das hilft Ihrem Arbeitgeber, Ihren Kollegen und somit dem Klima in Ihrem Betr</w:t>
            </w:r>
            <w:r w:rsidR="005C36CC">
              <w:rPr>
                <w:sz w:val="18"/>
                <w:szCs w:val="18"/>
              </w:rPr>
              <w:t>i</w:t>
            </w:r>
            <w:r w:rsidRPr="00B12ACE">
              <w:rPr>
                <w:sz w:val="18"/>
                <w:szCs w:val="18"/>
              </w:rPr>
              <w:t>eb</w:t>
            </w:r>
          </w:p>
        </w:tc>
      </w:tr>
      <w:tr w:rsidR="00B12ACE" w:rsidRPr="00B12ACE" w14:paraId="2E7DDC3A" w14:textId="77777777" w:rsidTr="0094092C">
        <w:tc>
          <w:tcPr>
            <w:tcW w:w="2391" w:type="dxa"/>
          </w:tcPr>
          <w:p w14:paraId="07B54B70" w14:textId="589099C8" w:rsidR="00B12ACE" w:rsidRPr="00B12ACE" w:rsidRDefault="00B12ACE" w:rsidP="00B12ACE">
            <w:pPr>
              <w:spacing w:line="276" w:lineRule="auto"/>
              <w:rPr>
                <w:sz w:val="18"/>
                <w:szCs w:val="18"/>
              </w:rPr>
            </w:pPr>
            <w:r w:rsidRPr="00B12ACE">
              <w:rPr>
                <w:sz w:val="18"/>
                <w:szCs w:val="18"/>
              </w:rPr>
              <w:t xml:space="preserve">Instrument / </w:t>
            </w:r>
            <w:r w:rsidR="005C36CC">
              <w:rPr>
                <w:sz w:val="18"/>
                <w:szCs w:val="18"/>
              </w:rPr>
              <w:t>r</w:t>
            </w:r>
            <w:r w:rsidRPr="00B12ACE">
              <w:rPr>
                <w:sz w:val="18"/>
                <w:szCs w:val="18"/>
              </w:rPr>
              <w:t>echtliche Grundlage</w:t>
            </w:r>
          </w:p>
        </w:tc>
        <w:tc>
          <w:tcPr>
            <w:tcW w:w="6897" w:type="dxa"/>
          </w:tcPr>
          <w:p w14:paraId="511BB1B9" w14:textId="77777777" w:rsidR="00B12ACE" w:rsidRPr="00B12ACE" w:rsidRDefault="00B12ACE" w:rsidP="00B12ACE">
            <w:pPr>
              <w:spacing w:line="276" w:lineRule="auto"/>
              <w:rPr>
                <w:sz w:val="18"/>
                <w:szCs w:val="18"/>
              </w:rPr>
            </w:pPr>
            <w:r w:rsidRPr="00B12ACE">
              <w:rPr>
                <w:sz w:val="18"/>
                <w:szCs w:val="18"/>
              </w:rPr>
              <w:t>Wirkweise</w:t>
            </w:r>
          </w:p>
        </w:tc>
      </w:tr>
      <w:tr w:rsidR="00B12ACE" w:rsidRPr="00B12ACE" w14:paraId="0FB224AE" w14:textId="77777777" w:rsidTr="0094092C">
        <w:tc>
          <w:tcPr>
            <w:tcW w:w="2391" w:type="dxa"/>
          </w:tcPr>
          <w:p w14:paraId="2D7664A1" w14:textId="3E686F5D" w:rsidR="00B12ACE" w:rsidRPr="00B12ACE" w:rsidRDefault="00B12ACE" w:rsidP="00B12ACE">
            <w:pPr>
              <w:spacing w:line="276" w:lineRule="auto"/>
              <w:rPr>
                <w:sz w:val="18"/>
                <w:szCs w:val="18"/>
              </w:rPr>
            </w:pPr>
            <w:r w:rsidRPr="00B12ACE">
              <w:rPr>
                <w:sz w:val="18"/>
                <w:szCs w:val="18"/>
              </w:rPr>
              <w:t>Gefährdungsbeurteilung psychische</w:t>
            </w:r>
            <w:r w:rsidR="005C36CC">
              <w:rPr>
                <w:sz w:val="18"/>
                <w:szCs w:val="18"/>
              </w:rPr>
              <w:t>r</w:t>
            </w:r>
            <w:r w:rsidRPr="00B12ACE">
              <w:rPr>
                <w:sz w:val="18"/>
                <w:szCs w:val="18"/>
              </w:rPr>
              <w:t xml:space="preserve"> Belastungen (§ 5 ArbSchG)</w:t>
            </w:r>
          </w:p>
        </w:tc>
        <w:tc>
          <w:tcPr>
            <w:tcW w:w="6897" w:type="dxa"/>
          </w:tcPr>
          <w:p w14:paraId="31FF39E0" w14:textId="77777777" w:rsidR="00B12ACE" w:rsidRPr="00256842" w:rsidRDefault="00B12ACE" w:rsidP="00B12ACE">
            <w:pPr>
              <w:spacing w:line="276" w:lineRule="auto"/>
              <w:rPr>
                <w:sz w:val="18"/>
                <w:szCs w:val="18"/>
              </w:rPr>
            </w:pPr>
            <w:r w:rsidRPr="00256842">
              <w:rPr>
                <w:sz w:val="18"/>
                <w:szCs w:val="18"/>
              </w:rPr>
              <w:t>Durch die Gefährdungsbeurteilung psychischer Belastungen können Sie nicht nur Belastungsfaktoren am Arbeitsplatz erkennen, die Schlafprobleme begünstigen, sondern auch die Erschöpfung der Kollegen erheben.</w:t>
            </w:r>
          </w:p>
          <w:p w14:paraId="275C017F" w14:textId="77777777" w:rsidR="00B12ACE" w:rsidRPr="00B12ACE" w:rsidRDefault="00B12ACE" w:rsidP="00B12ACE">
            <w:pPr>
              <w:spacing w:line="276" w:lineRule="auto"/>
              <w:rPr>
                <w:sz w:val="18"/>
                <w:szCs w:val="18"/>
              </w:rPr>
            </w:pPr>
            <w:r w:rsidRPr="00256842">
              <w:rPr>
                <w:sz w:val="18"/>
                <w:szCs w:val="18"/>
              </w:rPr>
              <w:t>Typische Faktoren sind Arbeitszeitgestaltung, Arbeitsintensität, Unterbrechungen, Zeitdruck, mangelnde Planbarkeit oder ständige Erreichbarkeit. Wenn solche Faktoren dauerhaft auftreten, beeinträchtigen sie nicht nur die Arbeitsleistung, sondern auch die Erholung der Kollegen.</w:t>
            </w:r>
          </w:p>
        </w:tc>
      </w:tr>
      <w:tr w:rsidR="00B12ACE" w:rsidRPr="00B12ACE" w14:paraId="5DE9045B" w14:textId="77777777" w:rsidTr="0094092C">
        <w:tc>
          <w:tcPr>
            <w:tcW w:w="2391" w:type="dxa"/>
          </w:tcPr>
          <w:p w14:paraId="4035DBE3" w14:textId="77777777" w:rsidR="00B12ACE" w:rsidRPr="00B12ACE" w:rsidRDefault="00B12ACE" w:rsidP="00B12ACE">
            <w:pPr>
              <w:spacing w:line="276" w:lineRule="auto"/>
              <w:rPr>
                <w:sz w:val="18"/>
                <w:szCs w:val="18"/>
              </w:rPr>
            </w:pPr>
            <w:r w:rsidRPr="00B12ACE">
              <w:rPr>
                <w:sz w:val="18"/>
                <w:szCs w:val="18"/>
              </w:rPr>
              <w:t>Arbeitszeitgestaltung ArbZG</w:t>
            </w:r>
          </w:p>
        </w:tc>
        <w:tc>
          <w:tcPr>
            <w:tcW w:w="6897" w:type="dxa"/>
          </w:tcPr>
          <w:p w14:paraId="6D41618A" w14:textId="0C9A23DF" w:rsidR="00B12ACE" w:rsidRPr="00256842" w:rsidRDefault="00B12ACE" w:rsidP="00B12ACE">
            <w:pPr>
              <w:spacing w:line="276" w:lineRule="auto"/>
              <w:rPr>
                <w:sz w:val="18"/>
                <w:szCs w:val="18"/>
              </w:rPr>
            </w:pPr>
            <w:r w:rsidRPr="00256842">
              <w:rPr>
                <w:sz w:val="18"/>
                <w:szCs w:val="18"/>
              </w:rPr>
              <w:t xml:space="preserve">Als Betriebsrat bestimmen Sie mit, wenn es um Arbeitszeiten geht, und wachen über die Einhaltung von Ruhezeiten und Pausen. Dazu gehört eine klare Regelung durch eine Betriebsvereinbarung zum Thema Erreichbarkeit, </w:t>
            </w:r>
            <w:r w:rsidR="005C36CC">
              <w:rPr>
                <w:sz w:val="18"/>
                <w:szCs w:val="18"/>
              </w:rPr>
              <w:t>die</w:t>
            </w:r>
            <w:r w:rsidRPr="00256842">
              <w:rPr>
                <w:sz w:val="18"/>
                <w:szCs w:val="18"/>
              </w:rPr>
              <w:t xml:space="preserve"> durch digitale Endgeräte auch nach Feierabend leichter möglich ist.</w:t>
            </w:r>
          </w:p>
          <w:p w14:paraId="0047CF51" w14:textId="77777777" w:rsidR="00B12ACE" w:rsidRPr="00B12ACE" w:rsidRDefault="00B12ACE" w:rsidP="00B12ACE">
            <w:pPr>
              <w:spacing w:line="276" w:lineRule="auto"/>
              <w:rPr>
                <w:sz w:val="18"/>
                <w:szCs w:val="18"/>
              </w:rPr>
            </w:pPr>
            <w:r w:rsidRPr="00256842">
              <w:rPr>
                <w:sz w:val="18"/>
                <w:szCs w:val="18"/>
              </w:rPr>
              <w:t>Hier kann eine Vereinbarung oder auch eine technische Lösung hilfreich und langfristig förderlich sein. Ebenso sollten Sie darauf achten, ob Ihr Arbeitgeber dafür sorgt, dass Ruhezeiten, Pausen und auch Überstunden im Rahmen bleiben.</w:t>
            </w:r>
          </w:p>
        </w:tc>
      </w:tr>
      <w:tr w:rsidR="00B12ACE" w:rsidRPr="00B12ACE" w14:paraId="46F49D47" w14:textId="77777777" w:rsidTr="0094092C">
        <w:tc>
          <w:tcPr>
            <w:tcW w:w="2391" w:type="dxa"/>
          </w:tcPr>
          <w:p w14:paraId="4F58FE29" w14:textId="77777777" w:rsidR="00B12ACE" w:rsidRPr="00B12ACE" w:rsidRDefault="00B12ACE" w:rsidP="00B12ACE">
            <w:pPr>
              <w:spacing w:line="276" w:lineRule="auto"/>
              <w:rPr>
                <w:sz w:val="18"/>
                <w:szCs w:val="18"/>
              </w:rPr>
            </w:pPr>
            <w:r w:rsidRPr="00B12ACE">
              <w:rPr>
                <w:sz w:val="18"/>
                <w:szCs w:val="18"/>
              </w:rPr>
              <w:t>Psychologische Ressourcen</w:t>
            </w:r>
          </w:p>
        </w:tc>
        <w:tc>
          <w:tcPr>
            <w:tcW w:w="6897" w:type="dxa"/>
          </w:tcPr>
          <w:p w14:paraId="241B50B9" w14:textId="64F6E004" w:rsidR="00B12ACE" w:rsidRPr="00B12ACE" w:rsidRDefault="00B12ACE" w:rsidP="00B12ACE">
            <w:pPr>
              <w:spacing w:line="276" w:lineRule="auto"/>
              <w:rPr>
                <w:sz w:val="18"/>
                <w:szCs w:val="18"/>
              </w:rPr>
            </w:pPr>
            <w:r w:rsidRPr="00256842">
              <w:rPr>
                <w:sz w:val="18"/>
                <w:szCs w:val="18"/>
              </w:rPr>
              <w:t xml:space="preserve">Die Forschung zeigt, dass Angebote für Kollegen und Führungskräfte zum Thema Stress, Resilienz und positive Psychologie das psychologische Kapital der Kollegen stärken und </w:t>
            </w:r>
            <w:r w:rsidR="005C36CC">
              <w:rPr>
                <w:sz w:val="18"/>
                <w:szCs w:val="18"/>
              </w:rPr>
              <w:t xml:space="preserve">dass </w:t>
            </w:r>
            <w:r w:rsidRPr="00256842">
              <w:rPr>
                <w:sz w:val="18"/>
                <w:szCs w:val="18"/>
              </w:rPr>
              <w:t>sie dadurch besser mit Belastungen umgehen können.</w:t>
            </w:r>
          </w:p>
        </w:tc>
      </w:tr>
      <w:tr w:rsidR="00B12ACE" w:rsidRPr="00B12ACE" w14:paraId="5F0E93B7" w14:textId="77777777" w:rsidTr="0094092C">
        <w:tc>
          <w:tcPr>
            <w:tcW w:w="9288" w:type="dxa"/>
            <w:gridSpan w:val="2"/>
          </w:tcPr>
          <w:p w14:paraId="31427EFE" w14:textId="77777777" w:rsidR="00B12ACE" w:rsidRPr="00B12ACE" w:rsidRDefault="00B12ACE" w:rsidP="00B12ACE">
            <w:pPr>
              <w:spacing w:line="276" w:lineRule="auto"/>
              <w:rPr>
                <w:sz w:val="18"/>
                <w:szCs w:val="18"/>
              </w:rPr>
            </w:pPr>
            <w:r w:rsidRPr="00B12ACE">
              <w:rPr>
                <w:sz w:val="18"/>
                <w:szCs w:val="18"/>
              </w:rPr>
              <w:t>Zu finden unter adiuva.de unter der Eingabe des Titels im Suchfeld</w:t>
            </w:r>
          </w:p>
        </w:tc>
      </w:tr>
    </w:tbl>
    <w:p w14:paraId="17733CB5" w14:textId="77777777" w:rsidR="007A5896" w:rsidRPr="00B12ACE" w:rsidRDefault="007A5896" w:rsidP="00B12ACE">
      <w:pPr>
        <w:spacing w:line="276" w:lineRule="auto"/>
        <w:rPr>
          <w:sz w:val="18"/>
          <w:szCs w:val="18"/>
        </w:rPr>
      </w:pPr>
    </w:p>
    <w:sectPr w:rsidR="007A5896" w:rsidRPr="00B12A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CE"/>
    <w:rsid w:val="003404BB"/>
    <w:rsid w:val="00483313"/>
    <w:rsid w:val="00585EF7"/>
    <w:rsid w:val="005C36CC"/>
    <w:rsid w:val="006F7A02"/>
    <w:rsid w:val="00703E35"/>
    <w:rsid w:val="007A5896"/>
    <w:rsid w:val="0091003A"/>
    <w:rsid w:val="009F4E03"/>
    <w:rsid w:val="00A22A99"/>
    <w:rsid w:val="00B12ACE"/>
    <w:rsid w:val="00F62228"/>
    <w:rsid w:val="00F977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8282C"/>
  <w15:chartTrackingRefBased/>
  <w15:docId w15:val="{BB8A9386-4A4C-43C8-89BE-A908289D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2ACE"/>
  </w:style>
  <w:style w:type="paragraph" w:styleId="berschrift1">
    <w:name w:val="heading 1"/>
    <w:basedOn w:val="Standard"/>
    <w:next w:val="Standard"/>
    <w:link w:val="berschrift1Zchn"/>
    <w:uiPriority w:val="9"/>
    <w:qFormat/>
    <w:rsid w:val="00B12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12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12A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12A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12ACE"/>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12A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12ACE"/>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12ACE"/>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12ACE"/>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12AC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12AC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12ACE"/>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12ACE"/>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12ACE"/>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B12ACE"/>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12ACE"/>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12ACE"/>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12ACE"/>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12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12AC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12AC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12ACE"/>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12AC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12ACE"/>
    <w:rPr>
      <w:i/>
      <w:iCs/>
      <w:color w:val="404040" w:themeColor="text1" w:themeTint="BF"/>
    </w:rPr>
  </w:style>
  <w:style w:type="paragraph" w:styleId="Listenabsatz">
    <w:name w:val="List Paragraph"/>
    <w:basedOn w:val="Standard"/>
    <w:uiPriority w:val="34"/>
    <w:qFormat/>
    <w:rsid w:val="00B12ACE"/>
    <w:pPr>
      <w:ind w:left="720"/>
      <w:contextualSpacing/>
    </w:pPr>
  </w:style>
  <w:style w:type="character" w:styleId="IntensiveHervorhebung">
    <w:name w:val="Intense Emphasis"/>
    <w:basedOn w:val="Absatz-Standardschriftart"/>
    <w:uiPriority w:val="21"/>
    <w:qFormat/>
    <w:rsid w:val="00B12ACE"/>
    <w:rPr>
      <w:i/>
      <w:iCs/>
      <w:color w:val="0F4761" w:themeColor="accent1" w:themeShade="BF"/>
    </w:rPr>
  </w:style>
  <w:style w:type="paragraph" w:styleId="IntensivesZitat">
    <w:name w:val="Intense Quote"/>
    <w:basedOn w:val="Standard"/>
    <w:next w:val="Standard"/>
    <w:link w:val="IntensivesZitatZchn"/>
    <w:uiPriority w:val="30"/>
    <w:qFormat/>
    <w:rsid w:val="00B12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12ACE"/>
    <w:rPr>
      <w:i/>
      <w:iCs/>
      <w:color w:val="0F4761" w:themeColor="accent1" w:themeShade="BF"/>
    </w:rPr>
  </w:style>
  <w:style w:type="character" w:styleId="IntensiverVerweis">
    <w:name w:val="Intense Reference"/>
    <w:basedOn w:val="Absatz-Standardschriftart"/>
    <w:uiPriority w:val="32"/>
    <w:qFormat/>
    <w:rsid w:val="00B12ACE"/>
    <w:rPr>
      <w:b/>
      <w:bCs/>
      <w:smallCaps/>
      <w:color w:val="0F4761" w:themeColor="accent1" w:themeShade="BF"/>
      <w:spacing w:val="5"/>
    </w:rPr>
  </w:style>
  <w:style w:type="table" w:styleId="Tabellenraster">
    <w:name w:val="Table Grid"/>
    <w:basedOn w:val="NormaleTabelle"/>
    <w:uiPriority w:val="39"/>
    <w:rsid w:val="00B1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1335</Characters>
  <Application>Microsoft Office Word</Application>
  <DocSecurity>0</DocSecurity>
  <Lines>11</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Natalie Hölscher</cp:lastModifiedBy>
  <cp:revision>2</cp:revision>
  <dcterms:created xsi:type="dcterms:W3CDTF">2026-04-10T11:10:00Z</dcterms:created>
  <dcterms:modified xsi:type="dcterms:W3CDTF">2026-04-10T11:10:00Z</dcterms:modified>
</cp:coreProperties>
</file>