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3465"/>
        <w:gridCol w:w="5597"/>
      </w:tblGrid>
      <w:tr w:rsidR="00450262" w14:paraId="7FAC31DA" w14:textId="77777777" w:rsidTr="006126E5">
        <w:tc>
          <w:tcPr>
            <w:tcW w:w="9212" w:type="dxa"/>
            <w:gridSpan w:val="2"/>
          </w:tcPr>
          <w:p w14:paraId="71D12603" w14:textId="53421F82" w:rsidR="00450262" w:rsidRPr="00B762AA" w:rsidRDefault="00450262" w:rsidP="006126E5">
            <w:pPr>
              <w:rPr>
                <w:sz w:val="18"/>
                <w:szCs w:val="18"/>
              </w:rPr>
            </w:pPr>
            <w:r>
              <w:rPr>
                <w:sz w:val="18"/>
                <w:szCs w:val="18"/>
              </w:rPr>
              <w:t>Hier finden Sie weitere Beispiele für Nudges, die Sie in Ihrem Betrieb einsetzen können</w:t>
            </w:r>
          </w:p>
        </w:tc>
      </w:tr>
      <w:tr w:rsidR="00450262" w14:paraId="033EDA0F" w14:textId="77777777" w:rsidTr="006126E5">
        <w:tc>
          <w:tcPr>
            <w:tcW w:w="3510" w:type="dxa"/>
          </w:tcPr>
          <w:p w14:paraId="0C0186A3" w14:textId="77777777" w:rsidR="00450262" w:rsidRPr="00B762AA" w:rsidRDefault="00450262" w:rsidP="006126E5">
            <w:pPr>
              <w:rPr>
                <w:sz w:val="18"/>
                <w:szCs w:val="18"/>
              </w:rPr>
            </w:pPr>
            <w:r w:rsidRPr="00B762AA">
              <w:rPr>
                <w:sz w:val="18"/>
                <w:szCs w:val="18"/>
              </w:rPr>
              <w:t>Beispiele</w:t>
            </w:r>
          </w:p>
        </w:tc>
        <w:tc>
          <w:tcPr>
            <w:tcW w:w="5702" w:type="dxa"/>
          </w:tcPr>
          <w:p w14:paraId="3196DA3B" w14:textId="77777777" w:rsidR="00450262" w:rsidRPr="00B762AA" w:rsidRDefault="00450262" w:rsidP="006126E5">
            <w:pPr>
              <w:rPr>
                <w:sz w:val="18"/>
                <w:szCs w:val="18"/>
              </w:rPr>
            </w:pPr>
            <w:r w:rsidRPr="00B762AA">
              <w:rPr>
                <w:sz w:val="18"/>
                <w:szCs w:val="18"/>
              </w:rPr>
              <w:t>Erklärung</w:t>
            </w:r>
          </w:p>
        </w:tc>
      </w:tr>
      <w:tr w:rsidR="00450262" w14:paraId="0CFDEA09" w14:textId="77777777" w:rsidTr="006126E5">
        <w:tc>
          <w:tcPr>
            <w:tcW w:w="3510" w:type="dxa"/>
          </w:tcPr>
          <w:p w14:paraId="1D403603" w14:textId="77777777" w:rsidR="00450262" w:rsidRPr="00B762AA" w:rsidRDefault="00450262" w:rsidP="006126E5">
            <w:pPr>
              <w:rPr>
                <w:sz w:val="18"/>
                <w:szCs w:val="18"/>
              </w:rPr>
            </w:pPr>
            <w:r w:rsidRPr="00B762AA">
              <w:rPr>
                <w:sz w:val="18"/>
                <w:szCs w:val="18"/>
              </w:rPr>
              <w:t>Treppenaufkleber: „Gut fürs Herz“</w:t>
            </w:r>
          </w:p>
        </w:tc>
        <w:tc>
          <w:tcPr>
            <w:tcW w:w="5702" w:type="dxa"/>
          </w:tcPr>
          <w:p w14:paraId="4364CC49" w14:textId="2ABFB211" w:rsidR="00450262" w:rsidRPr="00B762AA" w:rsidRDefault="00450262" w:rsidP="006126E5">
            <w:pPr>
              <w:rPr>
                <w:sz w:val="18"/>
                <w:szCs w:val="18"/>
              </w:rPr>
            </w:pPr>
            <w:r w:rsidRPr="00B762AA">
              <w:rPr>
                <w:sz w:val="18"/>
                <w:szCs w:val="18"/>
              </w:rPr>
              <w:t>Fördern die Motivation, die Treppe zu nutzen</w:t>
            </w:r>
            <w:r w:rsidR="00DE5274">
              <w:rPr>
                <w:sz w:val="18"/>
                <w:szCs w:val="18"/>
              </w:rPr>
              <w:t>,</w:t>
            </w:r>
            <w:r w:rsidRPr="00B762AA">
              <w:rPr>
                <w:sz w:val="18"/>
                <w:szCs w:val="18"/>
              </w:rPr>
              <w:t xml:space="preserve"> und machen klar, dass mit Bewegung das Herz-Kreislauf-System aktiviert wird.</w:t>
            </w:r>
          </w:p>
        </w:tc>
      </w:tr>
      <w:tr w:rsidR="00450262" w14:paraId="4289F555" w14:textId="77777777" w:rsidTr="006126E5">
        <w:tc>
          <w:tcPr>
            <w:tcW w:w="3510" w:type="dxa"/>
          </w:tcPr>
          <w:p w14:paraId="040802C3" w14:textId="77777777" w:rsidR="00450262" w:rsidRPr="00B762AA" w:rsidRDefault="00450262" w:rsidP="006126E5">
            <w:pPr>
              <w:rPr>
                <w:sz w:val="18"/>
                <w:szCs w:val="18"/>
              </w:rPr>
            </w:pPr>
            <w:r>
              <w:rPr>
                <w:sz w:val="18"/>
                <w:szCs w:val="18"/>
              </w:rPr>
              <w:t>Fußspurenaufkleber zum Treppenhaus</w:t>
            </w:r>
          </w:p>
        </w:tc>
        <w:tc>
          <w:tcPr>
            <w:tcW w:w="5702" w:type="dxa"/>
          </w:tcPr>
          <w:p w14:paraId="425E9BC0" w14:textId="752C324A" w:rsidR="00450262" w:rsidRPr="00B762AA" w:rsidRDefault="00450262" w:rsidP="006126E5">
            <w:pPr>
              <w:rPr>
                <w:sz w:val="18"/>
                <w:szCs w:val="18"/>
              </w:rPr>
            </w:pPr>
            <w:r>
              <w:rPr>
                <w:sz w:val="18"/>
                <w:szCs w:val="18"/>
              </w:rPr>
              <w:t>Anstatt eine</w:t>
            </w:r>
            <w:r w:rsidR="00DE5274">
              <w:rPr>
                <w:sz w:val="18"/>
                <w:szCs w:val="18"/>
              </w:rPr>
              <w:t>s</w:t>
            </w:r>
            <w:r>
              <w:rPr>
                <w:sz w:val="18"/>
                <w:szCs w:val="18"/>
              </w:rPr>
              <w:t xml:space="preserve"> Plakat</w:t>
            </w:r>
            <w:r w:rsidR="00DE5274">
              <w:rPr>
                <w:sz w:val="18"/>
                <w:szCs w:val="18"/>
              </w:rPr>
              <w:t>s</w:t>
            </w:r>
            <w:r>
              <w:rPr>
                <w:sz w:val="18"/>
                <w:szCs w:val="18"/>
              </w:rPr>
              <w:t xml:space="preserve"> am Aufzug helfen auch Fußspuren, die zum Treppenhaus führen. </w:t>
            </w:r>
          </w:p>
        </w:tc>
      </w:tr>
      <w:tr w:rsidR="00450262" w14:paraId="488E0ECC" w14:textId="77777777" w:rsidTr="006126E5">
        <w:tc>
          <w:tcPr>
            <w:tcW w:w="3510" w:type="dxa"/>
          </w:tcPr>
          <w:p w14:paraId="41959CE3" w14:textId="77777777" w:rsidR="00450262" w:rsidRDefault="00450262" w:rsidP="006126E5">
            <w:pPr>
              <w:rPr>
                <w:sz w:val="18"/>
                <w:szCs w:val="18"/>
              </w:rPr>
            </w:pPr>
            <w:r>
              <w:rPr>
                <w:sz w:val="18"/>
                <w:szCs w:val="18"/>
              </w:rPr>
              <w:t>Wasserspender und Wasserkannen</w:t>
            </w:r>
          </w:p>
        </w:tc>
        <w:tc>
          <w:tcPr>
            <w:tcW w:w="5702" w:type="dxa"/>
          </w:tcPr>
          <w:p w14:paraId="23B09698" w14:textId="77777777" w:rsidR="00450262" w:rsidRDefault="00450262" w:rsidP="006126E5">
            <w:pPr>
              <w:rPr>
                <w:sz w:val="18"/>
                <w:szCs w:val="18"/>
              </w:rPr>
            </w:pPr>
            <w:r>
              <w:rPr>
                <w:sz w:val="18"/>
                <w:szCs w:val="18"/>
              </w:rPr>
              <w:t>Sind Wasserflaschen und ein Wasserspender einfach zugänglich, trinken die Kollegen eher Wasser, als sich am Getränkeautomaten ein Süßgetränk auszuwählen.</w:t>
            </w:r>
          </w:p>
        </w:tc>
      </w:tr>
      <w:tr w:rsidR="00450262" w14:paraId="4AE492E4" w14:textId="77777777" w:rsidTr="006126E5">
        <w:tc>
          <w:tcPr>
            <w:tcW w:w="3510" w:type="dxa"/>
          </w:tcPr>
          <w:p w14:paraId="0CDA9030" w14:textId="7392E946" w:rsidR="00450262" w:rsidRDefault="00450262" w:rsidP="006126E5">
            <w:pPr>
              <w:rPr>
                <w:sz w:val="18"/>
                <w:szCs w:val="18"/>
              </w:rPr>
            </w:pPr>
            <w:r>
              <w:rPr>
                <w:sz w:val="18"/>
                <w:szCs w:val="18"/>
              </w:rPr>
              <w:t>Aushang: „Wussten Sie, dass 85</w:t>
            </w:r>
            <w:r w:rsidR="00DE5274">
              <w:rPr>
                <w:sz w:val="18"/>
                <w:szCs w:val="18"/>
              </w:rPr>
              <w:t xml:space="preserve"> </w:t>
            </w:r>
            <w:r>
              <w:rPr>
                <w:sz w:val="18"/>
                <w:szCs w:val="18"/>
              </w:rPr>
              <w:t>% die jährliche Vorsorgeuntersuchung nutzen</w:t>
            </w:r>
            <w:r w:rsidR="00DE5274">
              <w:rPr>
                <w:sz w:val="18"/>
                <w:szCs w:val="18"/>
              </w:rPr>
              <w:t>?</w:t>
            </w:r>
            <w:r>
              <w:rPr>
                <w:sz w:val="18"/>
                <w:szCs w:val="18"/>
              </w:rPr>
              <w:t>“ oder „Wussten Sie, dass 8 von 10 Kollegen ihre PSA regelmäßig tragen?“</w:t>
            </w:r>
          </w:p>
        </w:tc>
        <w:tc>
          <w:tcPr>
            <w:tcW w:w="5702" w:type="dxa"/>
          </w:tcPr>
          <w:p w14:paraId="37DA4061" w14:textId="7B544A1D" w:rsidR="00450262" w:rsidRDefault="00450262" w:rsidP="006126E5">
            <w:pPr>
              <w:rPr>
                <w:sz w:val="18"/>
                <w:szCs w:val="18"/>
              </w:rPr>
            </w:pPr>
            <w:r>
              <w:rPr>
                <w:sz w:val="18"/>
                <w:szCs w:val="18"/>
              </w:rPr>
              <w:t>Anonymisierte Aushänge zu Gesundheits- oder Sicherheitsdaten motivieren die Kollegen, die Handlungen auszuführen. Wir Menschen orientieren uns gerne an Mehrheiten</w:t>
            </w:r>
            <w:r w:rsidR="00DE5274">
              <w:rPr>
                <w:sz w:val="18"/>
                <w:szCs w:val="18"/>
              </w:rPr>
              <w:t>.</w:t>
            </w:r>
          </w:p>
        </w:tc>
      </w:tr>
      <w:tr w:rsidR="00450262" w14:paraId="7D245F31" w14:textId="77777777" w:rsidTr="006126E5">
        <w:tc>
          <w:tcPr>
            <w:tcW w:w="3510" w:type="dxa"/>
          </w:tcPr>
          <w:p w14:paraId="3DE423DF" w14:textId="77777777" w:rsidR="00450262" w:rsidRDefault="00450262" w:rsidP="006126E5">
            <w:pPr>
              <w:rPr>
                <w:sz w:val="18"/>
                <w:szCs w:val="18"/>
              </w:rPr>
            </w:pPr>
            <w:r>
              <w:rPr>
                <w:sz w:val="18"/>
                <w:szCs w:val="18"/>
              </w:rPr>
              <w:t>Werkzeug- und Materialmarkierungen</w:t>
            </w:r>
          </w:p>
        </w:tc>
        <w:tc>
          <w:tcPr>
            <w:tcW w:w="5702" w:type="dxa"/>
          </w:tcPr>
          <w:p w14:paraId="74410331" w14:textId="2752CAF0" w:rsidR="00450262" w:rsidRDefault="00DE5274" w:rsidP="006126E5">
            <w:pPr>
              <w:rPr>
                <w:sz w:val="18"/>
                <w:szCs w:val="18"/>
              </w:rPr>
            </w:pPr>
            <w:r>
              <w:rPr>
                <w:sz w:val="18"/>
                <w:szCs w:val="18"/>
              </w:rPr>
              <w:t xml:space="preserve">Aufbewahrungsorte für </w:t>
            </w:r>
            <w:r w:rsidR="00450262" w:rsidRPr="00883882">
              <w:rPr>
                <w:sz w:val="18"/>
                <w:szCs w:val="18"/>
              </w:rPr>
              <w:t>Werkzeuge werden mit farbigen Markierungen oder festen Umrissen an Werkbänken gekennzeichnet. Fehlt ein Werkzeug, fällt dies sofort auf. Gleichzeitig wird Ordnung gefördert, was Stolper- und Unfallrisiken reduziert.</w:t>
            </w:r>
          </w:p>
        </w:tc>
      </w:tr>
      <w:tr w:rsidR="00450262" w14:paraId="108BF3C9" w14:textId="77777777" w:rsidTr="006126E5">
        <w:tc>
          <w:tcPr>
            <w:tcW w:w="3510" w:type="dxa"/>
          </w:tcPr>
          <w:p w14:paraId="7764C652" w14:textId="03085E3E" w:rsidR="00450262" w:rsidRDefault="00450262" w:rsidP="006126E5">
            <w:pPr>
              <w:rPr>
                <w:sz w:val="18"/>
                <w:szCs w:val="18"/>
              </w:rPr>
            </w:pPr>
            <w:r>
              <w:rPr>
                <w:sz w:val="18"/>
                <w:szCs w:val="18"/>
              </w:rPr>
              <w:t>Erinnerungen</w:t>
            </w:r>
            <w:r w:rsidR="00DE5274">
              <w:rPr>
                <w:sz w:val="18"/>
                <w:szCs w:val="18"/>
              </w:rPr>
              <w:t xml:space="preserve"> alle 90 Min.</w:t>
            </w:r>
            <w:r>
              <w:rPr>
                <w:sz w:val="18"/>
                <w:szCs w:val="18"/>
              </w:rPr>
              <w:t xml:space="preserve"> (z.</w:t>
            </w:r>
            <w:r w:rsidR="00DE5274">
              <w:rPr>
                <w:sz w:val="18"/>
                <w:szCs w:val="18"/>
              </w:rPr>
              <w:t xml:space="preserve"> </w:t>
            </w:r>
            <w:r>
              <w:rPr>
                <w:sz w:val="18"/>
                <w:szCs w:val="18"/>
              </w:rPr>
              <w:t xml:space="preserve">B. </w:t>
            </w:r>
            <w:r w:rsidR="00DE5274">
              <w:rPr>
                <w:sz w:val="18"/>
                <w:szCs w:val="18"/>
              </w:rPr>
              <w:t>d</w:t>
            </w:r>
            <w:r>
              <w:rPr>
                <w:sz w:val="18"/>
                <w:szCs w:val="18"/>
              </w:rPr>
              <w:t>igital oder als Signalton)</w:t>
            </w:r>
          </w:p>
        </w:tc>
        <w:tc>
          <w:tcPr>
            <w:tcW w:w="5702" w:type="dxa"/>
          </w:tcPr>
          <w:p w14:paraId="70192ACD" w14:textId="17B3DF3A" w:rsidR="00450262" w:rsidRPr="00883882" w:rsidRDefault="00450262" w:rsidP="006126E5">
            <w:pPr>
              <w:rPr>
                <w:sz w:val="18"/>
                <w:szCs w:val="18"/>
              </w:rPr>
            </w:pPr>
            <w:r w:rsidRPr="002B74BE">
              <w:rPr>
                <w:sz w:val="18"/>
                <w:szCs w:val="18"/>
              </w:rPr>
              <w:t xml:space="preserve">Digitale Hinweise oder akustische Signale erinnern </w:t>
            </w:r>
            <w:r>
              <w:rPr>
                <w:sz w:val="18"/>
                <w:szCs w:val="18"/>
              </w:rPr>
              <w:t>Kollegen</w:t>
            </w:r>
            <w:r w:rsidRPr="002B74BE">
              <w:rPr>
                <w:sz w:val="18"/>
                <w:szCs w:val="18"/>
              </w:rPr>
              <w:t xml:space="preserve"> daran, kurze Pausen einzulegen. Gerade bei konzentrierten Tätigkeiten können solche Impulse </w:t>
            </w:r>
            <w:r w:rsidR="00DE5274">
              <w:rPr>
                <w:sz w:val="18"/>
                <w:szCs w:val="18"/>
              </w:rPr>
              <w:t xml:space="preserve">helfen, </w:t>
            </w:r>
            <w:r w:rsidRPr="002B74BE">
              <w:rPr>
                <w:sz w:val="18"/>
                <w:szCs w:val="18"/>
              </w:rPr>
              <w:t xml:space="preserve">Übermüdung und Fehlhandlungen </w:t>
            </w:r>
            <w:r w:rsidR="00DE5274">
              <w:rPr>
                <w:sz w:val="18"/>
                <w:szCs w:val="18"/>
              </w:rPr>
              <w:t xml:space="preserve">zu </w:t>
            </w:r>
            <w:r w:rsidRPr="002B74BE">
              <w:rPr>
                <w:sz w:val="18"/>
                <w:szCs w:val="18"/>
              </w:rPr>
              <w:t>vermeiden.</w:t>
            </w:r>
          </w:p>
        </w:tc>
      </w:tr>
      <w:tr w:rsidR="00450262" w14:paraId="7C30E036" w14:textId="77777777" w:rsidTr="006126E5">
        <w:tc>
          <w:tcPr>
            <w:tcW w:w="3510" w:type="dxa"/>
          </w:tcPr>
          <w:p w14:paraId="64141C7E" w14:textId="65ECAEBA" w:rsidR="00450262" w:rsidRDefault="00DE5274" w:rsidP="006126E5">
            <w:pPr>
              <w:rPr>
                <w:sz w:val="18"/>
                <w:szCs w:val="18"/>
              </w:rPr>
            </w:pPr>
            <w:r>
              <w:rPr>
                <w:sz w:val="18"/>
                <w:szCs w:val="18"/>
              </w:rPr>
              <w:t>e</w:t>
            </w:r>
            <w:r w:rsidR="00450262">
              <w:rPr>
                <w:sz w:val="18"/>
                <w:szCs w:val="18"/>
              </w:rPr>
              <w:t>infache Hinweise</w:t>
            </w:r>
          </w:p>
        </w:tc>
        <w:tc>
          <w:tcPr>
            <w:tcW w:w="5702" w:type="dxa"/>
          </w:tcPr>
          <w:p w14:paraId="7295E9A2" w14:textId="77777777" w:rsidR="00450262" w:rsidRPr="002B74BE" w:rsidRDefault="00450262" w:rsidP="006126E5">
            <w:pPr>
              <w:rPr>
                <w:sz w:val="18"/>
                <w:szCs w:val="18"/>
              </w:rPr>
            </w:pPr>
            <w:r w:rsidRPr="00D41863">
              <w:rPr>
                <w:sz w:val="18"/>
                <w:szCs w:val="18"/>
              </w:rPr>
              <w:t>Gut platzierte Hinweisschilder oder Bodenmarkierungen am Eingang zu Produktionsbereichen erinnern Beschäftigte daran, ihre persönliche Schutzausrüstung anzulegen. Ein einfacher Hinweis wie „Helm auf? Sicherheit zuerst!“ kann bereits ausreichen, um die Aufmerksamkeit zu erhöhen.</w:t>
            </w:r>
          </w:p>
        </w:tc>
      </w:tr>
      <w:tr w:rsidR="00450262" w14:paraId="184691AD" w14:textId="77777777" w:rsidTr="006126E5">
        <w:tc>
          <w:tcPr>
            <w:tcW w:w="3510" w:type="dxa"/>
          </w:tcPr>
          <w:p w14:paraId="7A167B43" w14:textId="77777777" w:rsidR="00450262" w:rsidRDefault="00450262" w:rsidP="006126E5">
            <w:pPr>
              <w:rPr>
                <w:sz w:val="18"/>
                <w:szCs w:val="18"/>
              </w:rPr>
            </w:pPr>
            <w:r>
              <w:rPr>
                <w:sz w:val="18"/>
                <w:szCs w:val="18"/>
              </w:rPr>
              <w:t>Obstkörbe</w:t>
            </w:r>
          </w:p>
        </w:tc>
        <w:tc>
          <w:tcPr>
            <w:tcW w:w="5702" w:type="dxa"/>
          </w:tcPr>
          <w:p w14:paraId="4B83BF16" w14:textId="6A877269" w:rsidR="00450262" w:rsidRPr="00D41863" w:rsidRDefault="00450262" w:rsidP="006126E5">
            <w:pPr>
              <w:rPr>
                <w:sz w:val="18"/>
                <w:szCs w:val="18"/>
              </w:rPr>
            </w:pPr>
            <w:r>
              <w:rPr>
                <w:sz w:val="18"/>
                <w:szCs w:val="18"/>
              </w:rPr>
              <w:t>Auch ein Obstkorb kann ein Nudge sein. Stellt Ihr Arbeitgeber einen Obstkorb zur Verfügung, so wählt ein Kollege eher den Apfel als einen Schokoriegel.</w:t>
            </w:r>
          </w:p>
        </w:tc>
      </w:tr>
      <w:tr w:rsidR="00450262" w14:paraId="333047B0" w14:textId="77777777" w:rsidTr="006126E5">
        <w:tc>
          <w:tcPr>
            <w:tcW w:w="3510" w:type="dxa"/>
          </w:tcPr>
          <w:p w14:paraId="664F55CA" w14:textId="29AABB51" w:rsidR="00450262" w:rsidRDefault="00DE5274" w:rsidP="006126E5">
            <w:pPr>
              <w:rPr>
                <w:sz w:val="18"/>
                <w:szCs w:val="18"/>
              </w:rPr>
            </w:pPr>
            <w:r>
              <w:rPr>
                <w:sz w:val="18"/>
                <w:szCs w:val="18"/>
              </w:rPr>
              <w:t>h</w:t>
            </w:r>
            <w:r w:rsidR="00450262">
              <w:rPr>
                <w:sz w:val="18"/>
                <w:szCs w:val="18"/>
              </w:rPr>
              <w:t xml:space="preserve">umorvolle Essenshinweise: </w:t>
            </w:r>
            <w:r>
              <w:rPr>
                <w:sz w:val="18"/>
                <w:szCs w:val="18"/>
              </w:rPr>
              <w:t>„</w:t>
            </w:r>
            <w:r w:rsidR="00450262">
              <w:rPr>
                <w:sz w:val="18"/>
                <w:szCs w:val="18"/>
              </w:rPr>
              <w:t>Currywurst</w:t>
            </w:r>
            <w:r>
              <w:rPr>
                <w:sz w:val="18"/>
                <w:szCs w:val="18"/>
              </w:rPr>
              <w:t>:</w:t>
            </w:r>
            <w:r w:rsidR="00450262">
              <w:rPr>
                <w:sz w:val="18"/>
                <w:szCs w:val="18"/>
              </w:rPr>
              <w:t xml:space="preserve"> 90 km Radtour, Salat</w:t>
            </w:r>
            <w:r>
              <w:rPr>
                <w:sz w:val="18"/>
                <w:szCs w:val="18"/>
              </w:rPr>
              <w:t>:</w:t>
            </w:r>
            <w:r w:rsidR="00450262">
              <w:rPr>
                <w:sz w:val="18"/>
                <w:szCs w:val="18"/>
              </w:rPr>
              <w:t xml:space="preserve"> 10 km Radtour – welche Tour spricht dich heute an?</w:t>
            </w:r>
            <w:r>
              <w:rPr>
                <w:sz w:val="18"/>
                <w:szCs w:val="18"/>
              </w:rPr>
              <w:t>“</w:t>
            </w:r>
          </w:p>
        </w:tc>
        <w:tc>
          <w:tcPr>
            <w:tcW w:w="5702" w:type="dxa"/>
          </w:tcPr>
          <w:p w14:paraId="0C9B0C37" w14:textId="15CDD5D5" w:rsidR="00450262" w:rsidRDefault="00450262" w:rsidP="006126E5">
            <w:pPr>
              <w:rPr>
                <w:sz w:val="18"/>
                <w:szCs w:val="18"/>
              </w:rPr>
            </w:pPr>
            <w:r>
              <w:rPr>
                <w:sz w:val="18"/>
                <w:szCs w:val="18"/>
              </w:rPr>
              <w:t>Solche Informationen in der Kantine, z.</w:t>
            </w:r>
            <w:r w:rsidR="00DE5274">
              <w:rPr>
                <w:sz w:val="18"/>
                <w:szCs w:val="18"/>
              </w:rPr>
              <w:t xml:space="preserve"> </w:t>
            </w:r>
            <w:r>
              <w:rPr>
                <w:sz w:val="18"/>
                <w:szCs w:val="18"/>
              </w:rPr>
              <w:t xml:space="preserve">B. zum Kalorienumfang und </w:t>
            </w:r>
            <w:r w:rsidR="00DE5274">
              <w:rPr>
                <w:sz w:val="18"/>
                <w:szCs w:val="18"/>
              </w:rPr>
              <w:t>-v</w:t>
            </w:r>
            <w:r>
              <w:rPr>
                <w:sz w:val="18"/>
                <w:szCs w:val="18"/>
              </w:rPr>
              <w:t>erbrauch</w:t>
            </w:r>
            <w:r w:rsidR="00DE5274">
              <w:rPr>
                <w:sz w:val="18"/>
                <w:szCs w:val="18"/>
              </w:rPr>
              <w:t>,</w:t>
            </w:r>
            <w:r>
              <w:rPr>
                <w:sz w:val="18"/>
                <w:szCs w:val="18"/>
              </w:rPr>
              <w:t xml:space="preserve"> helfen den Kollegen</w:t>
            </w:r>
            <w:r w:rsidR="00DE5274">
              <w:rPr>
                <w:sz w:val="18"/>
                <w:szCs w:val="18"/>
              </w:rPr>
              <w:t>,</w:t>
            </w:r>
            <w:r>
              <w:rPr>
                <w:sz w:val="18"/>
                <w:szCs w:val="18"/>
              </w:rPr>
              <w:t xml:space="preserve"> sich bewusst zu </w:t>
            </w:r>
            <w:r w:rsidR="00DE5274">
              <w:rPr>
                <w:sz w:val="18"/>
                <w:szCs w:val="18"/>
              </w:rPr>
              <w:t>e</w:t>
            </w:r>
            <w:r>
              <w:rPr>
                <w:sz w:val="18"/>
                <w:szCs w:val="18"/>
              </w:rPr>
              <w:t xml:space="preserve">ntscheiden und nicht </w:t>
            </w:r>
            <w:r w:rsidR="00DE5274">
              <w:rPr>
                <w:sz w:val="18"/>
                <w:szCs w:val="18"/>
              </w:rPr>
              <w:t xml:space="preserve">nur </w:t>
            </w:r>
            <w:r>
              <w:rPr>
                <w:sz w:val="18"/>
                <w:szCs w:val="18"/>
              </w:rPr>
              <w:t>aus Gewohnheit ein Essen zu wählen</w:t>
            </w:r>
            <w:r w:rsidR="00DE5274">
              <w:rPr>
                <w:sz w:val="18"/>
                <w:szCs w:val="18"/>
              </w:rPr>
              <w:t>.</w:t>
            </w:r>
          </w:p>
        </w:tc>
      </w:tr>
      <w:tr w:rsidR="00450262" w14:paraId="180DE529" w14:textId="77777777" w:rsidTr="006126E5">
        <w:tc>
          <w:tcPr>
            <w:tcW w:w="9212" w:type="dxa"/>
            <w:gridSpan w:val="2"/>
          </w:tcPr>
          <w:p w14:paraId="5E3AFD22" w14:textId="12F25D6B" w:rsidR="00450262" w:rsidRDefault="00450262" w:rsidP="00450262">
            <w:pPr>
              <w:spacing w:line="276" w:lineRule="auto"/>
              <w:rPr>
                <w:sz w:val="18"/>
                <w:szCs w:val="18"/>
                <w:lang w:eastAsia="de-DE"/>
              </w:rPr>
            </w:pPr>
            <w:r>
              <w:rPr>
                <w:b/>
                <w:bCs/>
                <w:sz w:val="18"/>
                <w:szCs w:val="18"/>
              </w:rPr>
              <w:t>Zu finden unter adiuva.de unter der Eingabe des Titels im Suchfeld</w:t>
            </w:r>
          </w:p>
        </w:tc>
      </w:tr>
    </w:tbl>
    <w:p w14:paraId="2A896D8E" w14:textId="77777777" w:rsidR="007A5896" w:rsidRDefault="007A5896"/>
    <w:sectPr w:rsidR="007A58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62"/>
    <w:rsid w:val="00076D4A"/>
    <w:rsid w:val="002D59E2"/>
    <w:rsid w:val="00450262"/>
    <w:rsid w:val="00585EF7"/>
    <w:rsid w:val="00792F38"/>
    <w:rsid w:val="007A5896"/>
    <w:rsid w:val="0091003A"/>
    <w:rsid w:val="009F4E03"/>
    <w:rsid w:val="00A22A99"/>
    <w:rsid w:val="00D77EC0"/>
    <w:rsid w:val="00DE5274"/>
    <w:rsid w:val="00F353FA"/>
    <w:rsid w:val="00F62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B398"/>
  <w15:chartTrackingRefBased/>
  <w15:docId w15:val="{D1E09FA0-FB5A-4755-A6EF-E1B756FD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0262"/>
  </w:style>
  <w:style w:type="paragraph" w:styleId="berschrift1">
    <w:name w:val="heading 1"/>
    <w:basedOn w:val="Standard"/>
    <w:next w:val="Standard"/>
    <w:link w:val="berschrift1Zchn"/>
    <w:uiPriority w:val="9"/>
    <w:qFormat/>
    <w:rsid w:val="00450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50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5026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502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5026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502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50262"/>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50262"/>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50262"/>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5026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5026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50262"/>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50262"/>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50262"/>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450262"/>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50262"/>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450262"/>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50262"/>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450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026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5026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50262"/>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45026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50262"/>
    <w:rPr>
      <w:i/>
      <w:iCs/>
      <w:color w:val="404040" w:themeColor="text1" w:themeTint="BF"/>
    </w:rPr>
  </w:style>
  <w:style w:type="paragraph" w:styleId="Listenabsatz">
    <w:name w:val="List Paragraph"/>
    <w:basedOn w:val="Standard"/>
    <w:uiPriority w:val="34"/>
    <w:qFormat/>
    <w:rsid w:val="00450262"/>
    <w:pPr>
      <w:ind w:left="720"/>
      <w:contextualSpacing/>
    </w:pPr>
  </w:style>
  <w:style w:type="character" w:styleId="IntensiveHervorhebung">
    <w:name w:val="Intense Emphasis"/>
    <w:basedOn w:val="Absatz-Standardschriftart"/>
    <w:uiPriority w:val="21"/>
    <w:qFormat/>
    <w:rsid w:val="00450262"/>
    <w:rPr>
      <w:i/>
      <w:iCs/>
      <w:color w:val="0F4761" w:themeColor="accent1" w:themeShade="BF"/>
    </w:rPr>
  </w:style>
  <w:style w:type="paragraph" w:styleId="IntensivesZitat">
    <w:name w:val="Intense Quote"/>
    <w:basedOn w:val="Standard"/>
    <w:next w:val="Standard"/>
    <w:link w:val="IntensivesZitatZchn"/>
    <w:uiPriority w:val="30"/>
    <w:qFormat/>
    <w:rsid w:val="00450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50262"/>
    <w:rPr>
      <w:i/>
      <w:iCs/>
      <w:color w:val="0F4761" w:themeColor="accent1" w:themeShade="BF"/>
    </w:rPr>
  </w:style>
  <w:style w:type="character" w:styleId="IntensiverVerweis">
    <w:name w:val="Intense Reference"/>
    <w:basedOn w:val="Absatz-Standardschriftart"/>
    <w:uiPriority w:val="32"/>
    <w:qFormat/>
    <w:rsid w:val="00450262"/>
    <w:rPr>
      <w:b/>
      <w:bCs/>
      <w:smallCaps/>
      <w:color w:val="0F4761" w:themeColor="accent1" w:themeShade="BF"/>
      <w:spacing w:val="5"/>
    </w:rPr>
  </w:style>
  <w:style w:type="table" w:styleId="Tabellenraster">
    <w:name w:val="Table Grid"/>
    <w:basedOn w:val="NormaleTabelle"/>
    <w:uiPriority w:val="39"/>
    <w:rsid w:val="00450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8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1941</Characters>
  <Application>Microsoft Office Word</Application>
  <DocSecurity>0</DocSecurity>
  <Lines>16</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Natalie Hölscher</cp:lastModifiedBy>
  <cp:revision>2</cp:revision>
  <dcterms:created xsi:type="dcterms:W3CDTF">2026-04-10T09:18:00Z</dcterms:created>
  <dcterms:modified xsi:type="dcterms:W3CDTF">2026-04-10T09:18:00Z</dcterms:modified>
</cp:coreProperties>
</file>