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322D" w14:paraId="5C9F434D" w14:textId="77777777" w:rsidTr="009135FE">
        <w:tc>
          <w:tcPr>
            <w:tcW w:w="9212" w:type="dxa"/>
          </w:tcPr>
          <w:p w14:paraId="5D929D09" w14:textId="77777777" w:rsidR="00D9322D" w:rsidRDefault="00D9322D" w:rsidP="009135FE">
            <w:r>
              <w:t>Sammeln Sie zu folgenden Punkten Informationen und suchen Sie das Gespräch im ASA</w:t>
            </w:r>
          </w:p>
        </w:tc>
      </w:tr>
      <w:tr w:rsidR="00D9322D" w14:paraId="5D87205C" w14:textId="77777777" w:rsidTr="009135FE">
        <w:tc>
          <w:tcPr>
            <w:tcW w:w="9212" w:type="dxa"/>
          </w:tcPr>
          <w:p w14:paraId="64E5C36D" w14:textId="6417BEFE" w:rsidR="00D9322D" w:rsidRDefault="00D9322D" w:rsidP="00D9322D">
            <w:pPr>
              <w:pStyle w:val="Listenabsatz"/>
              <w:numPr>
                <w:ilvl w:val="0"/>
                <w:numId w:val="1"/>
              </w:numPr>
            </w:pPr>
            <w:r w:rsidRPr="003150CE">
              <w:rPr>
                <w:b/>
                <w:bCs/>
              </w:rPr>
              <w:t>Arbeitsanweisungen:</w:t>
            </w:r>
            <w:r>
              <w:t xml:space="preserve"> Fragen Sie Ihre Kollegen, ob die Arbeitsanweisungen klar, vollständig und verständlich formuliert sind. Hören Sie selbst bei Begehungen genau zu. </w:t>
            </w:r>
            <w:r w:rsidRPr="00296070">
              <w:t xml:space="preserve">Achten Sie darauf, dass Arbeitsanweisungen eindeutig Empfänger, Auftrag, Ziel, Mittel, Zeit und Rückmeldung enthalten. </w:t>
            </w:r>
            <w:r>
              <w:t xml:space="preserve">Prüfen Sie auch bei Unfällen, ob unklare Vorgaben ein Grund dafür </w:t>
            </w:r>
            <w:r w:rsidR="008621F5">
              <w:t>waren</w:t>
            </w:r>
            <w:r>
              <w:t>.</w:t>
            </w:r>
          </w:p>
        </w:tc>
      </w:tr>
      <w:tr w:rsidR="00D9322D" w14:paraId="7D5468FA" w14:textId="77777777" w:rsidTr="009135FE">
        <w:tc>
          <w:tcPr>
            <w:tcW w:w="9212" w:type="dxa"/>
          </w:tcPr>
          <w:p w14:paraId="23F15B9D" w14:textId="77777777" w:rsidR="00D9322D" w:rsidRDefault="00D9322D" w:rsidP="00D9322D">
            <w:pPr>
              <w:pStyle w:val="Listenabsatz"/>
              <w:numPr>
                <w:ilvl w:val="0"/>
                <w:numId w:val="1"/>
              </w:numPr>
            </w:pPr>
            <w:r w:rsidRPr="003150CE">
              <w:rPr>
                <w:b/>
                <w:bCs/>
              </w:rPr>
              <w:t>Unterweisungen:</w:t>
            </w:r>
            <w:r>
              <w:t xml:space="preserve"> Überwachen Sie, ob Ihr Arbeitgeber Unterweisungen nicht nur regelmäßig, sondern auch verständlich und praxisnah vermittelt. So können Ihre Kollegen Risiken besser einschätzen.</w:t>
            </w:r>
          </w:p>
        </w:tc>
      </w:tr>
      <w:tr w:rsidR="00D9322D" w14:paraId="4A8AB5F5" w14:textId="77777777" w:rsidTr="009135FE">
        <w:tc>
          <w:tcPr>
            <w:tcW w:w="9212" w:type="dxa"/>
          </w:tcPr>
          <w:p w14:paraId="2A4C41F2" w14:textId="396C59A5" w:rsidR="00D9322D" w:rsidRDefault="00D9322D" w:rsidP="00D9322D">
            <w:pPr>
              <w:pStyle w:val="Listenabsatz"/>
              <w:numPr>
                <w:ilvl w:val="0"/>
                <w:numId w:val="1"/>
              </w:numPr>
            </w:pPr>
            <w:r w:rsidRPr="00AB6204">
              <w:rPr>
                <w:b/>
                <w:bCs/>
              </w:rPr>
              <w:t>Aufklärung:</w:t>
            </w:r>
            <w:r>
              <w:t xml:space="preserve"> Regen Sie als Betriebsrat an, dass alle Kollegen und Führungskräfte </w:t>
            </w:r>
            <w:r w:rsidR="008621F5">
              <w:t>um</w:t>
            </w:r>
            <w:r>
              <w:t xml:space="preserve"> die Bedeutung von klaren Anweisungen und präziser Kommunikation für die Sicherheit am Arbeitsplatz</w:t>
            </w:r>
            <w:r w:rsidR="008621F5">
              <w:t xml:space="preserve"> wissen</w:t>
            </w:r>
            <w:r>
              <w:t>.</w:t>
            </w:r>
          </w:p>
        </w:tc>
      </w:tr>
      <w:tr w:rsidR="00D9322D" w14:paraId="52063268" w14:textId="77777777" w:rsidTr="009135FE">
        <w:tc>
          <w:tcPr>
            <w:tcW w:w="9212" w:type="dxa"/>
          </w:tcPr>
          <w:p w14:paraId="46735810" w14:textId="1CAE7219" w:rsidR="00D9322D" w:rsidRDefault="00D9322D" w:rsidP="00D9322D">
            <w:pPr>
              <w:pStyle w:val="Listenabsatz"/>
              <w:numPr>
                <w:ilvl w:val="0"/>
                <w:numId w:val="1"/>
              </w:numPr>
            </w:pPr>
            <w:r w:rsidRPr="00AB6204">
              <w:rPr>
                <w:b/>
                <w:bCs/>
              </w:rPr>
              <w:t>Monitoring:</w:t>
            </w:r>
            <w:r>
              <w:t xml:space="preserve"> Sinnvoll ist auch</w:t>
            </w:r>
            <w:r w:rsidR="008621F5">
              <w:t>,</w:t>
            </w:r>
            <w:r>
              <w:t xml:space="preserve"> das Thema statistisch zu erfassen und gerade bei der Unfallanalyse konkret den Aspekt der unklaren Anweisungen aufzunehmen. So kann Ihr Arbeitgeber durch Maßnahmen gegensteuern.</w:t>
            </w:r>
          </w:p>
        </w:tc>
      </w:tr>
      <w:tr w:rsidR="00D9322D" w14:paraId="752495A5" w14:textId="77777777" w:rsidTr="009135FE">
        <w:tc>
          <w:tcPr>
            <w:tcW w:w="9212" w:type="dxa"/>
          </w:tcPr>
          <w:p w14:paraId="52C89C64" w14:textId="2C7C6499" w:rsidR="00D9322D" w:rsidRDefault="00D9322D" w:rsidP="00D9322D">
            <w:pPr>
              <w:pStyle w:val="Listenabsatz"/>
              <w:ind w:left="0"/>
            </w:pPr>
            <w:r w:rsidRPr="00D9322D">
              <w:rPr>
                <w:b/>
                <w:bCs/>
              </w:rPr>
              <w:t>Zu finden unter adiuva.de unter der Eingabe des Titels im Suchfeld</w:t>
            </w:r>
          </w:p>
        </w:tc>
      </w:tr>
    </w:tbl>
    <w:p w14:paraId="66D2DBFE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F70A2"/>
    <w:multiLevelType w:val="hybridMultilevel"/>
    <w:tmpl w:val="703C1394"/>
    <w:lvl w:ilvl="0" w:tplc="F30E08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73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2D"/>
    <w:rsid w:val="005709C9"/>
    <w:rsid w:val="00585EF7"/>
    <w:rsid w:val="00723F1D"/>
    <w:rsid w:val="007A5896"/>
    <w:rsid w:val="007B5FBF"/>
    <w:rsid w:val="008621F5"/>
    <w:rsid w:val="0091003A"/>
    <w:rsid w:val="009F4E03"/>
    <w:rsid w:val="00A22A99"/>
    <w:rsid w:val="00C22A14"/>
    <w:rsid w:val="00D81D56"/>
    <w:rsid w:val="00D9322D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C317"/>
  <w15:chartTrackingRefBased/>
  <w15:docId w15:val="{99BC6EB6-9A9C-4062-B9B2-7845A4D9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22D"/>
  </w:style>
  <w:style w:type="paragraph" w:styleId="berschrift1">
    <w:name w:val="heading 1"/>
    <w:basedOn w:val="Standard"/>
    <w:next w:val="Standard"/>
    <w:link w:val="berschrift1Zchn"/>
    <w:uiPriority w:val="9"/>
    <w:qFormat/>
    <w:rsid w:val="00D9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32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32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32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32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32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32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32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3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32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32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32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32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32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32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32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32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32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32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32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32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3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32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322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9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2026-05-08T18:14:00Z</dcterms:created>
  <dcterms:modified xsi:type="dcterms:W3CDTF">2026-05-08T18:14:00Z</dcterms:modified>
</cp:coreProperties>
</file>