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7"/>
        <w:gridCol w:w="4111"/>
      </w:tblGrid>
      <w:tr w:rsidR="00AD7BFF" w:rsidRPr="00EA188D" w14:paraId="16B56033" w14:textId="77777777" w:rsidTr="003F211A">
        <w:tc>
          <w:tcPr>
            <w:tcW w:w="4503" w:type="dxa"/>
            <w:gridSpan w:val="2"/>
          </w:tcPr>
          <w:p w14:paraId="4502C7BC" w14:textId="77777777" w:rsidR="00AD7BFF" w:rsidRPr="009271FD" w:rsidRDefault="00AD7BFF" w:rsidP="008605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71FD">
              <w:rPr>
                <w:rFonts w:ascii="Calibri" w:hAnsi="Calibri" w:cs="Calibri"/>
                <w:b/>
                <w:bCs/>
                <w:sz w:val="18"/>
                <w:szCs w:val="18"/>
              </w:rPr>
              <w:t>Diese 4 Datenschutzaspekte müssen Sie als Betriebsrat im BEM besonders im Auge haben</w:t>
            </w:r>
          </w:p>
        </w:tc>
      </w:tr>
      <w:tr w:rsidR="00AD7BFF" w:rsidRPr="00EA188D" w14:paraId="09DF220B" w14:textId="77777777" w:rsidTr="00130CF9">
        <w:tc>
          <w:tcPr>
            <w:tcW w:w="392" w:type="dxa"/>
          </w:tcPr>
          <w:p w14:paraId="47384364" w14:textId="77777777" w:rsidR="00AD7BFF" w:rsidRPr="009271FD" w:rsidRDefault="00AD7BFF" w:rsidP="008605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71FD">
              <w:rPr>
                <w:rFonts w:ascii="Calibri" w:hAnsi="Calibri" w:cs="Calibri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4111" w:type="dxa"/>
          </w:tcPr>
          <w:p w14:paraId="547E3C60" w14:textId="77777777" w:rsidR="00AD7BFF" w:rsidRPr="009271FD" w:rsidRDefault="00AD7BFF" w:rsidP="0086057C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271FD">
              <w:rPr>
                <w:rFonts w:ascii="Calibri" w:hAnsi="Calibri" w:cs="Calibri"/>
                <w:b/>
                <w:bCs/>
                <w:sz w:val="18"/>
                <w:szCs w:val="18"/>
              </w:rPr>
              <w:t>Thema</w:t>
            </w:r>
          </w:p>
        </w:tc>
      </w:tr>
      <w:tr w:rsidR="00AD7BFF" w:rsidRPr="00EA188D" w14:paraId="46A867F8" w14:textId="77777777" w:rsidTr="00130CF9">
        <w:tc>
          <w:tcPr>
            <w:tcW w:w="392" w:type="dxa"/>
          </w:tcPr>
          <w:p w14:paraId="5029BA71" w14:textId="77777777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14:paraId="6BE24E99" w14:textId="77777777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88D">
              <w:rPr>
                <w:rFonts w:ascii="Calibri" w:hAnsi="Calibri" w:cs="Calibri"/>
                <w:b/>
                <w:bCs/>
                <w:sz w:val="18"/>
                <w:szCs w:val="18"/>
              </w:rPr>
              <w:t>Einwilligung zu Datenverarbeitung</w:t>
            </w:r>
          </w:p>
          <w:p w14:paraId="63EE43B5" w14:textId="2F15A47B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A188D">
              <w:rPr>
                <w:rFonts w:ascii="Calibri" w:hAnsi="Calibri" w:cs="Calibri"/>
                <w:sz w:val="18"/>
                <w:szCs w:val="18"/>
              </w:rPr>
              <w:t xml:space="preserve">Bevor ein BEM beginnen kann, muss der betroffene Kollege ausreichend informiert werden und seine schriftliche Einwilligung zur Datenverarbeitung im Rahmen des BEM geben. </w:t>
            </w:r>
            <w:r w:rsidR="00570BA4">
              <w:rPr>
                <w:rFonts w:ascii="Calibri" w:hAnsi="Calibri" w:cs="Calibri"/>
                <w:sz w:val="18"/>
                <w:szCs w:val="18"/>
              </w:rPr>
              <w:t xml:space="preserve">Ohne Zustimmung kann kein sinnvolles BEM erfolgen. </w:t>
            </w:r>
            <w:r w:rsidRPr="00EA188D">
              <w:rPr>
                <w:rFonts w:ascii="Calibri" w:hAnsi="Calibri" w:cs="Calibri"/>
                <w:sz w:val="18"/>
                <w:szCs w:val="18"/>
              </w:rPr>
              <w:t xml:space="preserve">Zudem muss er </w:t>
            </w:r>
            <w:r w:rsidR="00C42D91">
              <w:rPr>
                <w:rFonts w:ascii="Calibri" w:hAnsi="Calibri" w:cs="Calibri"/>
                <w:sz w:val="18"/>
                <w:szCs w:val="18"/>
              </w:rPr>
              <w:t xml:space="preserve">schriftlich </w:t>
            </w:r>
            <w:r w:rsidRPr="00EA188D">
              <w:rPr>
                <w:rFonts w:ascii="Calibri" w:hAnsi="Calibri" w:cs="Calibri"/>
                <w:sz w:val="18"/>
                <w:szCs w:val="18"/>
              </w:rPr>
              <w:t>über seine Rechte aufgeklärt werden</w:t>
            </w:r>
            <w:r w:rsidR="00D5357D">
              <w:rPr>
                <w:rFonts w:ascii="Calibri" w:hAnsi="Calibri" w:cs="Calibri"/>
                <w:sz w:val="18"/>
                <w:szCs w:val="18"/>
              </w:rPr>
              <w:t xml:space="preserve"> und darf jederzeit seine Zustimmung widerrufen. Dann würde das BEM allerdings auch </w:t>
            </w:r>
            <w:r w:rsidR="00BA40C1">
              <w:rPr>
                <w:rFonts w:ascii="Calibri" w:hAnsi="Calibri" w:cs="Calibri"/>
                <w:sz w:val="18"/>
                <w:szCs w:val="18"/>
              </w:rPr>
              <w:t>e</w:t>
            </w:r>
            <w:r w:rsidR="00D5357D">
              <w:rPr>
                <w:rFonts w:ascii="Calibri" w:hAnsi="Calibri" w:cs="Calibri"/>
                <w:sz w:val="18"/>
                <w:szCs w:val="18"/>
              </w:rPr>
              <w:t>nden.</w:t>
            </w:r>
          </w:p>
        </w:tc>
      </w:tr>
      <w:tr w:rsidR="00AD7BFF" w:rsidRPr="00EA188D" w14:paraId="48B74DD5" w14:textId="77777777" w:rsidTr="00130CF9">
        <w:trPr>
          <w:trHeight w:val="1228"/>
        </w:trPr>
        <w:tc>
          <w:tcPr>
            <w:tcW w:w="392" w:type="dxa"/>
          </w:tcPr>
          <w:p w14:paraId="45A9808A" w14:textId="77777777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14:paraId="12B51A1C" w14:textId="6A980714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117D2E">
              <w:rPr>
                <w:rFonts w:ascii="Calibri" w:hAnsi="Calibri" w:cs="Calibri"/>
                <w:b/>
                <w:bCs/>
                <w:sz w:val="18"/>
                <w:szCs w:val="18"/>
              </w:rPr>
              <w:t>Datenverarbeitung und Datenminimierung im BEM</w:t>
            </w:r>
            <w:r w:rsidRPr="00EA18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A188D">
              <w:rPr>
                <w:rFonts w:ascii="Calibri" w:hAnsi="Calibri" w:cs="Calibri"/>
                <w:sz w:val="18"/>
                <w:szCs w:val="18"/>
              </w:rPr>
              <w:br/>
            </w:r>
            <w:r w:rsidRPr="00117D2E">
              <w:rPr>
                <w:rFonts w:ascii="Calibri" w:hAnsi="Calibri" w:cs="Calibri"/>
                <w:sz w:val="18"/>
                <w:szCs w:val="18"/>
              </w:rPr>
              <w:t>Ein zentraler Grundsatz der DSGVO ist die Datenminimierung nach Art. 5 Abs. 1</w:t>
            </w:r>
            <w:r w:rsidRPr="00EA18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17D2E">
              <w:rPr>
                <w:rFonts w:ascii="Calibri" w:hAnsi="Calibri" w:cs="Calibri"/>
                <w:sz w:val="18"/>
                <w:szCs w:val="18"/>
              </w:rPr>
              <w:t xml:space="preserve">DSGVO. Im BEM dürfen nur solche Daten erhoben werden, die für die Durchführung des Verfahrens erforderlich sind. Diagnosen oder detaillierte Krankheitsverläufe sind in der Regel nicht notwendig. </w:t>
            </w:r>
            <w:r w:rsidRPr="00EA188D">
              <w:rPr>
                <w:rFonts w:ascii="Calibri" w:hAnsi="Calibri" w:cs="Calibri"/>
                <w:sz w:val="18"/>
                <w:szCs w:val="18"/>
              </w:rPr>
              <w:t>Wirken Sie als Betriebsrat darauf hin, dass die Datenerhebung strikt zweckgebunden ist</w:t>
            </w:r>
            <w:r w:rsidR="00130CF9">
              <w:rPr>
                <w:rFonts w:ascii="Calibri" w:hAnsi="Calibri" w:cs="Calibri"/>
                <w:sz w:val="18"/>
                <w:szCs w:val="18"/>
              </w:rPr>
              <w:t xml:space="preserve"> und </w:t>
            </w:r>
            <w:r w:rsidR="00BA40C1">
              <w:rPr>
                <w:rFonts w:ascii="Calibri" w:hAnsi="Calibri" w:cs="Calibri"/>
                <w:sz w:val="18"/>
                <w:szCs w:val="18"/>
              </w:rPr>
              <w:t xml:space="preserve">dass </w:t>
            </w:r>
            <w:r w:rsidR="00130CF9">
              <w:rPr>
                <w:rFonts w:ascii="Calibri" w:hAnsi="Calibri" w:cs="Calibri"/>
                <w:sz w:val="18"/>
                <w:szCs w:val="18"/>
              </w:rPr>
              <w:t>auch im Gespräch nicht beiläufig der Datenschutz umgangen wird.</w:t>
            </w:r>
            <w:r w:rsidR="001C3FDB">
              <w:rPr>
                <w:rFonts w:ascii="Calibri" w:hAnsi="Calibri" w:cs="Calibri"/>
                <w:sz w:val="18"/>
                <w:szCs w:val="18"/>
              </w:rPr>
              <w:t xml:space="preserve"> Das gilt für alle Beteiligten, die im BEM eingebunden sind, d.h. auch für Sie als Betriebsrat.</w:t>
            </w:r>
          </w:p>
        </w:tc>
      </w:tr>
      <w:tr w:rsidR="00AD7BFF" w:rsidRPr="00EA188D" w14:paraId="35B871F5" w14:textId="77777777" w:rsidTr="00130CF9">
        <w:tc>
          <w:tcPr>
            <w:tcW w:w="392" w:type="dxa"/>
          </w:tcPr>
          <w:p w14:paraId="3B31BDEB" w14:textId="77777777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14:paraId="7E4FBC88" w14:textId="77777777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88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Trennung BEM-Daten von der Personalakte </w:t>
            </w:r>
          </w:p>
          <w:p w14:paraId="54009747" w14:textId="73E156D6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A188D">
              <w:rPr>
                <w:rFonts w:ascii="Calibri" w:hAnsi="Calibri" w:cs="Calibri"/>
                <w:sz w:val="18"/>
                <w:szCs w:val="18"/>
              </w:rPr>
              <w:t xml:space="preserve">Achten Sie darauf, dass die </w:t>
            </w:r>
            <w:r w:rsidRPr="00117D2E">
              <w:rPr>
                <w:rFonts w:ascii="Calibri" w:hAnsi="Calibri" w:cs="Calibri"/>
                <w:sz w:val="18"/>
                <w:szCs w:val="18"/>
              </w:rPr>
              <w:t>BEM-Unterlagen</w:t>
            </w:r>
            <w:r w:rsidRPr="00EA18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117D2E">
              <w:rPr>
                <w:rFonts w:ascii="Calibri" w:hAnsi="Calibri" w:cs="Calibri"/>
                <w:sz w:val="18"/>
                <w:szCs w:val="18"/>
              </w:rPr>
              <w:t>nicht automatisch Bestandteil der Personalakte werden, da sie einem besonderen Vertrauensschutz unterliegen.</w:t>
            </w:r>
            <w:r w:rsidRPr="00EA188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A6140">
              <w:rPr>
                <w:rFonts w:ascii="Calibri" w:hAnsi="Calibri" w:cs="Calibri"/>
                <w:sz w:val="18"/>
                <w:szCs w:val="18"/>
              </w:rPr>
              <w:t xml:space="preserve">Für den BEM-Fall werden alle Daten in einer BEM-Akte </w:t>
            </w:r>
            <w:r w:rsidR="00374FAA">
              <w:rPr>
                <w:rFonts w:ascii="Calibri" w:hAnsi="Calibri" w:cs="Calibri"/>
                <w:sz w:val="18"/>
                <w:szCs w:val="18"/>
              </w:rPr>
              <w:t>gespeichert</w:t>
            </w:r>
            <w:r w:rsidR="00CA6140">
              <w:rPr>
                <w:rFonts w:ascii="Calibri" w:hAnsi="Calibri" w:cs="Calibri"/>
                <w:sz w:val="18"/>
                <w:szCs w:val="18"/>
              </w:rPr>
              <w:t xml:space="preserve"> und </w:t>
            </w:r>
            <w:r w:rsidR="004D1B4A">
              <w:rPr>
                <w:rFonts w:ascii="Calibri" w:hAnsi="Calibri" w:cs="Calibri"/>
                <w:sz w:val="18"/>
                <w:szCs w:val="18"/>
              </w:rPr>
              <w:t xml:space="preserve">entsprechend </w:t>
            </w:r>
            <w:r w:rsidR="004D1B4A" w:rsidRPr="00EA188D">
              <w:rPr>
                <w:rFonts w:cs="Calibri"/>
                <w:sz w:val="18"/>
                <w:szCs w:val="18"/>
              </w:rPr>
              <w:t>braucht</w:t>
            </w:r>
            <w:r w:rsidRPr="00EA188D">
              <w:rPr>
                <w:rFonts w:ascii="Calibri" w:hAnsi="Calibri" w:cs="Calibri"/>
                <w:sz w:val="18"/>
                <w:szCs w:val="18"/>
              </w:rPr>
              <w:t xml:space="preserve"> es </w:t>
            </w:r>
            <w:r w:rsidR="003525D0">
              <w:rPr>
                <w:rFonts w:ascii="Calibri" w:hAnsi="Calibri" w:cs="Calibri"/>
                <w:sz w:val="18"/>
                <w:szCs w:val="18"/>
              </w:rPr>
              <w:t xml:space="preserve">neben einer </w:t>
            </w:r>
            <w:r w:rsidR="003525D0" w:rsidRPr="00EA188D">
              <w:rPr>
                <w:rFonts w:cs="Calibri"/>
                <w:sz w:val="18"/>
                <w:szCs w:val="18"/>
              </w:rPr>
              <w:t>klaren Trennung</w:t>
            </w:r>
            <w:r w:rsidRPr="00EA188D">
              <w:rPr>
                <w:rFonts w:ascii="Calibri" w:hAnsi="Calibri" w:cs="Calibri"/>
                <w:sz w:val="18"/>
                <w:szCs w:val="18"/>
              </w:rPr>
              <w:t xml:space="preserve"> und auch </w:t>
            </w:r>
            <w:r w:rsidR="00374FAA">
              <w:rPr>
                <w:rFonts w:ascii="Calibri" w:hAnsi="Calibri" w:cs="Calibri"/>
                <w:sz w:val="18"/>
                <w:szCs w:val="18"/>
              </w:rPr>
              <w:t>eindeutige</w:t>
            </w:r>
            <w:r w:rsidRPr="00EA188D">
              <w:rPr>
                <w:rFonts w:ascii="Calibri" w:hAnsi="Calibri" w:cs="Calibri"/>
                <w:sz w:val="18"/>
                <w:szCs w:val="18"/>
              </w:rPr>
              <w:t xml:space="preserve"> Zugriffsrechte. </w:t>
            </w:r>
            <w:r w:rsidR="004D1B4A">
              <w:rPr>
                <w:rFonts w:ascii="Calibri" w:hAnsi="Calibri" w:cs="Calibri"/>
                <w:sz w:val="18"/>
                <w:szCs w:val="18"/>
              </w:rPr>
              <w:t>So darf z.</w:t>
            </w:r>
            <w:r w:rsidR="00BA40C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D1B4A">
              <w:rPr>
                <w:rFonts w:ascii="Calibri" w:hAnsi="Calibri" w:cs="Calibri"/>
                <w:sz w:val="18"/>
                <w:szCs w:val="18"/>
              </w:rPr>
              <w:t>B. nur das jeweilige BEM-Team auf die Akte zugreifen</w:t>
            </w:r>
            <w:r w:rsidR="00BA40C1">
              <w:rPr>
                <w:rFonts w:ascii="Calibri" w:hAnsi="Calibri" w:cs="Calibri"/>
                <w:sz w:val="18"/>
                <w:szCs w:val="18"/>
              </w:rPr>
              <w:t>,</w:t>
            </w:r>
            <w:r w:rsidR="003525D0">
              <w:rPr>
                <w:rFonts w:ascii="Calibri" w:hAnsi="Calibri" w:cs="Calibri"/>
                <w:sz w:val="18"/>
                <w:szCs w:val="18"/>
              </w:rPr>
              <w:t xml:space="preserve"> und </w:t>
            </w:r>
            <w:r w:rsidR="004D1B4A">
              <w:rPr>
                <w:rFonts w:ascii="Calibri" w:hAnsi="Calibri" w:cs="Calibri"/>
                <w:sz w:val="18"/>
                <w:szCs w:val="18"/>
              </w:rPr>
              <w:t>der BEM-Berechtigte erhält das Protokoll</w:t>
            </w:r>
            <w:r w:rsidR="003525D0">
              <w:rPr>
                <w:rFonts w:ascii="Calibri" w:hAnsi="Calibri" w:cs="Calibri"/>
                <w:sz w:val="18"/>
                <w:szCs w:val="18"/>
              </w:rPr>
              <w:t xml:space="preserve"> schriftlich.</w:t>
            </w:r>
          </w:p>
        </w:tc>
      </w:tr>
      <w:tr w:rsidR="00AD7BFF" w:rsidRPr="00EA188D" w14:paraId="7D1D138B" w14:textId="77777777" w:rsidTr="00130CF9">
        <w:tc>
          <w:tcPr>
            <w:tcW w:w="392" w:type="dxa"/>
          </w:tcPr>
          <w:p w14:paraId="7FF8A4CF" w14:textId="77777777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14:paraId="00D78D1E" w14:textId="2CB1D1F9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A188D">
              <w:rPr>
                <w:rFonts w:ascii="Calibri" w:hAnsi="Calibri" w:cs="Calibri"/>
                <w:b/>
                <w:bCs/>
                <w:sz w:val="18"/>
                <w:szCs w:val="18"/>
              </w:rPr>
              <w:t>Lös</w:t>
            </w:r>
            <w:r w:rsidR="00BA40C1">
              <w:rPr>
                <w:rFonts w:ascii="Calibri" w:hAnsi="Calibri" w:cs="Calibri"/>
                <w:b/>
                <w:bCs/>
                <w:sz w:val="18"/>
                <w:szCs w:val="18"/>
              </w:rPr>
              <w:t>ch</w:t>
            </w:r>
            <w:r w:rsidRPr="00EA188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ung der BEM-Daten </w:t>
            </w:r>
          </w:p>
          <w:p w14:paraId="684D6B5F" w14:textId="3BEAB69E" w:rsidR="00AD7BFF" w:rsidRPr="00EA188D" w:rsidRDefault="00AD7BFF" w:rsidP="0086057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117D2E">
              <w:rPr>
                <w:rFonts w:ascii="Calibri" w:hAnsi="Calibri" w:cs="Calibri"/>
                <w:sz w:val="18"/>
                <w:szCs w:val="18"/>
              </w:rPr>
              <w:t xml:space="preserve">Nach Art. 17 DSGVO besteht ein Recht auf Löschung personenbezogener Daten, sobald der Zweck der Verarbeitung entfällt. Im BEM bedeutet dies, dass die </w:t>
            </w:r>
            <w:r w:rsidRPr="00EA188D">
              <w:rPr>
                <w:rFonts w:ascii="Calibri" w:hAnsi="Calibri" w:cs="Calibri"/>
                <w:sz w:val="18"/>
                <w:szCs w:val="18"/>
              </w:rPr>
              <w:t>BEM-Akte zu löschen ist</w:t>
            </w:r>
            <w:r w:rsidRPr="00117D2E">
              <w:rPr>
                <w:rFonts w:ascii="Calibri" w:hAnsi="Calibri" w:cs="Calibri"/>
                <w:sz w:val="18"/>
                <w:szCs w:val="18"/>
              </w:rPr>
              <w:t xml:space="preserve">, sobald das Verfahren </w:t>
            </w:r>
            <w:r>
              <w:rPr>
                <w:rFonts w:ascii="Calibri" w:hAnsi="Calibri" w:cs="Calibri"/>
                <w:sz w:val="18"/>
                <w:szCs w:val="18"/>
              </w:rPr>
              <w:t>i.</w:t>
            </w:r>
            <w:r w:rsidR="00BA40C1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>d.</w:t>
            </w:r>
            <w:r w:rsidR="00BA40C1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R. </w:t>
            </w:r>
            <w:r w:rsidRPr="00EA188D">
              <w:rPr>
                <w:rFonts w:ascii="Calibri" w:hAnsi="Calibri" w:cs="Calibri"/>
                <w:sz w:val="18"/>
                <w:szCs w:val="18"/>
              </w:rPr>
              <w:t xml:space="preserve">3 Jahre </w:t>
            </w:r>
            <w:r w:rsidRPr="00117D2E">
              <w:rPr>
                <w:rFonts w:ascii="Calibri" w:hAnsi="Calibri" w:cs="Calibri"/>
                <w:sz w:val="18"/>
                <w:szCs w:val="18"/>
              </w:rPr>
              <w:t>abgeschlossen ist und keine weiteren Maßnahmen mehr erforderlich sind.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DB5125">
              <w:rPr>
                <w:rFonts w:ascii="Calibri" w:hAnsi="Calibri" w:cs="Calibri"/>
                <w:sz w:val="18"/>
                <w:szCs w:val="18"/>
              </w:rPr>
              <w:t>Ihr Arbeitgeber darf nicht für „einen späteren Fall“ die BEM-Akte speichern. Er darf in der Personalakte d</w:t>
            </w:r>
            <w:r w:rsidR="00AB7C71">
              <w:rPr>
                <w:rFonts w:ascii="Calibri" w:hAnsi="Calibri" w:cs="Calibri"/>
                <w:sz w:val="18"/>
                <w:szCs w:val="18"/>
              </w:rPr>
              <w:t>en Beginn und das Ende des BEM vermerken und die getroffenen Maßnahmen festhalten.</w:t>
            </w:r>
          </w:p>
        </w:tc>
      </w:tr>
      <w:tr w:rsidR="00AD7BFF" w:rsidRPr="00EA188D" w14:paraId="5D6B20D6" w14:textId="77777777" w:rsidTr="003F211A">
        <w:tc>
          <w:tcPr>
            <w:tcW w:w="4503" w:type="dxa"/>
            <w:gridSpan w:val="2"/>
          </w:tcPr>
          <w:p w14:paraId="5F83C6B6" w14:textId="0CBA7952" w:rsidR="00AD7BFF" w:rsidRPr="00EA188D" w:rsidRDefault="00130CF9" w:rsidP="0086057C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130CF9">
              <w:rPr>
                <w:rFonts w:ascii="Calibri" w:hAnsi="Calibri" w:cs="Calibri"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0F3E4B67" w14:textId="77777777" w:rsidR="007A5896" w:rsidRPr="00AD7BFF" w:rsidRDefault="007A5896" w:rsidP="00AD7BFF"/>
    <w:sectPr w:rsidR="007A5896" w:rsidRPr="00AD7B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FF"/>
    <w:rsid w:val="00045846"/>
    <w:rsid w:val="000D1A16"/>
    <w:rsid w:val="00130CF9"/>
    <w:rsid w:val="001C3FDB"/>
    <w:rsid w:val="003525D0"/>
    <w:rsid w:val="00374FAA"/>
    <w:rsid w:val="00396B45"/>
    <w:rsid w:val="003F211A"/>
    <w:rsid w:val="004D1B4A"/>
    <w:rsid w:val="00570BA4"/>
    <w:rsid w:val="00585EF7"/>
    <w:rsid w:val="00773C23"/>
    <w:rsid w:val="007A5896"/>
    <w:rsid w:val="007B2902"/>
    <w:rsid w:val="00905D33"/>
    <w:rsid w:val="0091003A"/>
    <w:rsid w:val="009F4C11"/>
    <w:rsid w:val="009F4E03"/>
    <w:rsid w:val="00A22A99"/>
    <w:rsid w:val="00AB7C71"/>
    <w:rsid w:val="00AD7BFF"/>
    <w:rsid w:val="00BA40C1"/>
    <w:rsid w:val="00C42D91"/>
    <w:rsid w:val="00CA6140"/>
    <w:rsid w:val="00D068AC"/>
    <w:rsid w:val="00D5357D"/>
    <w:rsid w:val="00DB5125"/>
    <w:rsid w:val="00DF6C2B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83EF"/>
  <w15:chartTrackingRefBased/>
  <w15:docId w15:val="{A6313179-38A4-4792-A6DC-9DED2C7D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D7BFF"/>
  </w:style>
  <w:style w:type="paragraph" w:styleId="berschrift1">
    <w:name w:val="heading 1"/>
    <w:basedOn w:val="Standard"/>
    <w:next w:val="Standard"/>
    <w:link w:val="berschrift1Zchn"/>
    <w:uiPriority w:val="9"/>
    <w:qFormat/>
    <w:rsid w:val="00AD7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D7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D7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D7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D7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D7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D7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D7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D7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7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7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D7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D7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D7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D7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D7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D7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D7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D7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D7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D7BF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7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D7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D7B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D7B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D7B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D7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7B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D7BF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aliases w:val="TabellenrasterBlau"/>
    <w:basedOn w:val="NormaleTabelle"/>
    <w:rsid w:val="00AD7BFF"/>
    <w:pPr>
      <w:spacing w:after="0" w:line="240" w:lineRule="auto"/>
    </w:pPr>
    <w:rPr>
      <w:rFonts w:asciiTheme="minorHAnsi" w:hAnsi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2026-05-08T17:18:00Z</dcterms:created>
  <dcterms:modified xsi:type="dcterms:W3CDTF">2026-05-08T17:18:00Z</dcterms:modified>
</cp:coreProperties>
</file>