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9062"/>
      </w:tblGrid>
      <w:tr w:rsidR="00837963" w:rsidRPr="00837963" w14:paraId="183BB30B" w14:textId="77777777" w:rsidTr="00837963">
        <w:tc>
          <w:tcPr>
            <w:tcW w:w="9212" w:type="dxa"/>
          </w:tcPr>
          <w:p w14:paraId="27558E2A" w14:textId="600A7EBD" w:rsidR="00837963" w:rsidRPr="00837963" w:rsidRDefault="00837963">
            <w:pPr>
              <w:rPr>
                <w:sz w:val="18"/>
                <w:szCs w:val="18"/>
              </w:rPr>
            </w:pPr>
            <w:r>
              <w:rPr>
                <w:sz w:val="18"/>
                <w:szCs w:val="18"/>
              </w:rPr>
              <w:t>Passen Sie die Muster-BV an</w:t>
            </w:r>
            <w:r w:rsidR="00853448">
              <w:rPr>
                <w:sz w:val="18"/>
                <w:szCs w:val="18"/>
              </w:rPr>
              <w:t xml:space="preserve"> die Gegebenheiten</w:t>
            </w:r>
            <w:r>
              <w:rPr>
                <w:sz w:val="18"/>
                <w:szCs w:val="18"/>
              </w:rPr>
              <w:t xml:space="preserve"> </w:t>
            </w:r>
            <w:r w:rsidR="000D2026">
              <w:rPr>
                <w:sz w:val="18"/>
                <w:szCs w:val="18"/>
              </w:rPr>
              <w:t xml:space="preserve">in </w:t>
            </w:r>
            <w:r>
              <w:rPr>
                <w:sz w:val="18"/>
                <w:szCs w:val="18"/>
              </w:rPr>
              <w:t>Ihre</w:t>
            </w:r>
            <w:r w:rsidR="000D2026">
              <w:rPr>
                <w:sz w:val="18"/>
                <w:szCs w:val="18"/>
              </w:rPr>
              <w:t>m</w:t>
            </w:r>
            <w:r>
              <w:rPr>
                <w:sz w:val="18"/>
                <w:szCs w:val="18"/>
              </w:rPr>
              <w:t xml:space="preserve"> Betrieb an</w:t>
            </w:r>
          </w:p>
        </w:tc>
      </w:tr>
      <w:tr w:rsidR="00837963" w:rsidRPr="00837963" w14:paraId="3BF17142" w14:textId="77777777" w:rsidTr="00837963">
        <w:tc>
          <w:tcPr>
            <w:tcW w:w="9212" w:type="dxa"/>
          </w:tcPr>
          <w:p w14:paraId="02836333" w14:textId="3EE01069" w:rsidR="00837963" w:rsidRPr="00837963" w:rsidRDefault="00837963" w:rsidP="00837963">
            <w:pPr>
              <w:pStyle w:val="Listenabsatz"/>
              <w:numPr>
                <w:ilvl w:val="0"/>
                <w:numId w:val="10"/>
              </w:numPr>
              <w:ind w:left="142" w:hanging="142"/>
              <w:rPr>
                <w:b/>
                <w:bCs/>
                <w:sz w:val="18"/>
                <w:szCs w:val="18"/>
              </w:rPr>
            </w:pPr>
            <w:r w:rsidRPr="00837963">
              <w:rPr>
                <w:b/>
                <w:bCs/>
                <w:sz w:val="18"/>
                <w:szCs w:val="18"/>
              </w:rPr>
              <w:t xml:space="preserve"> Präambel</w:t>
            </w:r>
          </w:p>
          <w:p w14:paraId="2C64C416" w14:textId="42919FA0" w:rsidR="00837963" w:rsidRPr="00837963" w:rsidRDefault="00837963" w:rsidP="00837963">
            <w:pPr>
              <w:rPr>
                <w:sz w:val="18"/>
                <w:szCs w:val="18"/>
              </w:rPr>
            </w:pPr>
            <w:r w:rsidRPr="00837963">
              <w:rPr>
                <w:sz w:val="18"/>
                <w:szCs w:val="18"/>
              </w:rPr>
              <w:t xml:space="preserve">Diese Betriebsvereinbarung regelt das </w:t>
            </w:r>
            <w:r w:rsidR="000D2026">
              <w:rPr>
                <w:sz w:val="18"/>
                <w:szCs w:val="18"/>
              </w:rPr>
              <w:t>b</w:t>
            </w:r>
            <w:r w:rsidRPr="00837963">
              <w:rPr>
                <w:sz w:val="18"/>
                <w:szCs w:val="18"/>
              </w:rPr>
              <w:t>etriebliche Eingliederungsmanagement (BEM) gemäß § 167 Abs. 2 SGB IX. Arbeitgeber, Personalabteilung (HR), Betriebsrat und Schwerbehindertenvertretung verfolgen gemeinsam das Ziel, die Arbeitsfähigkeit der Beschäftigten zu erhalten, Arbeitsunfähigkeit zu überwinden und erneuter Erkrankung vorzubeugen sowie präventiv gesundheitsförderliche Arbeitsbedingungen zu stärken.</w:t>
            </w:r>
          </w:p>
          <w:p w14:paraId="30C33F62" w14:textId="32BEE3EA" w:rsidR="00837963" w:rsidRPr="00837963" w:rsidRDefault="00837963" w:rsidP="00837963">
            <w:pPr>
              <w:numPr>
                <w:ilvl w:val="0"/>
                <w:numId w:val="1"/>
              </w:numPr>
              <w:ind w:left="0"/>
              <w:rPr>
                <w:sz w:val="18"/>
                <w:szCs w:val="18"/>
              </w:rPr>
            </w:pPr>
            <w:r w:rsidRPr="00837963">
              <w:rPr>
                <w:b/>
                <w:bCs/>
                <w:sz w:val="18"/>
                <w:szCs w:val="18"/>
              </w:rPr>
              <w:t>2. Geltungsbereich</w:t>
            </w:r>
            <w:r>
              <w:rPr>
                <w:sz w:val="18"/>
                <w:szCs w:val="18"/>
              </w:rPr>
              <w:t xml:space="preserve"> </w:t>
            </w:r>
            <w:r w:rsidRPr="00837963">
              <w:rPr>
                <w:sz w:val="18"/>
                <w:szCs w:val="18"/>
              </w:rPr>
              <w:br/>
              <w:t>Diese Vereinbarung gilt für alle Beschäftigten des Unternehmens unabhängig von einer Schwerbehinderung. Ausgenommen sind externe Mitarbeitende wie Leiharbeitnehmer, Aushilfen oder Honorarkräfte, sofern keine gesetzlichen Regelungen entgegenstehen.</w:t>
            </w:r>
          </w:p>
          <w:p w14:paraId="4D635FB4" w14:textId="14CEA7F2" w:rsidR="00837963" w:rsidRPr="00837963" w:rsidRDefault="00837963" w:rsidP="00837963">
            <w:pPr>
              <w:numPr>
                <w:ilvl w:val="0"/>
                <w:numId w:val="1"/>
              </w:numPr>
              <w:ind w:left="0"/>
              <w:rPr>
                <w:sz w:val="18"/>
                <w:szCs w:val="18"/>
              </w:rPr>
            </w:pPr>
            <w:r w:rsidRPr="00837963">
              <w:rPr>
                <w:b/>
                <w:bCs/>
                <w:sz w:val="18"/>
                <w:szCs w:val="18"/>
              </w:rPr>
              <w:t>3. Ziele, Grundsätze und Abgrenzung</w:t>
            </w:r>
            <w:r w:rsidRPr="00837963">
              <w:rPr>
                <w:sz w:val="18"/>
                <w:szCs w:val="18"/>
              </w:rPr>
              <w:br/>
              <w:t>Ziele sind die in § 167 Abs. 2 SGB IX genannten Zwecke. Die Teilnahme am BEM ist freiwillig und kann jederzeit begonnen, abgelehnt oder widerrufen werden. Ein Widerruf führt zur sofortigen Beendigung des Verfahrens ohne Nachteile für die betroffene Person.</w:t>
            </w:r>
            <w:r>
              <w:rPr>
                <w:sz w:val="18"/>
                <w:szCs w:val="18"/>
              </w:rPr>
              <w:t xml:space="preserve"> </w:t>
            </w:r>
            <w:r w:rsidRPr="00837963">
              <w:rPr>
                <w:sz w:val="18"/>
                <w:szCs w:val="18"/>
              </w:rPr>
              <w:t>BEM ist vom betrieblichen Rückkehrgespräch zu unterscheiden. Rückkehrgespräche dienen ausschließlich der kurzfristigen Einsatz- und Arbeitsfähigkeitsklärung, während das BEM ein strukturiertes, vertrauliches und datenschutzrechtlich geschütztes Verfahren darstellt.</w:t>
            </w:r>
            <w:r>
              <w:rPr>
                <w:sz w:val="18"/>
                <w:szCs w:val="18"/>
              </w:rPr>
              <w:t xml:space="preserve"> </w:t>
            </w:r>
            <w:r w:rsidRPr="00837963">
              <w:rPr>
                <w:sz w:val="18"/>
                <w:szCs w:val="18"/>
              </w:rPr>
              <w:t>Alle Beteiligten verpflichten sich zu Vertraulichkeit, Zweckbindung und Datenminimierung.</w:t>
            </w:r>
          </w:p>
          <w:p w14:paraId="785B52B4" w14:textId="4ECDC01F" w:rsidR="00837963" w:rsidRPr="00837963" w:rsidRDefault="00837963" w:rsidP="00837963">
            <w:pPr>
              <w:numPr>
                <w:ilvl w:val="0"/>
                <w:numId w:val="1"/>
              </w:numPr>
              <w:ind w:left="0"/>
              <w:rPr>
                <w:sz w:val="18"/>
                <w:szCs w:val="18"/>
              </w:rPr>
            </w:pPr>
            <w:r w:rsidRPr="00837963">
              <w:rPr>
                <w:b/>
                <w:bCs/>
                <w:sz w:val="18"/>
                <w:szCs w:val="18"/>
              </w:rPr>
              <w:t>4. Voraussetzungen, Einladung und Fristen</w:t>
            </w:r>
            <w:r w:rsidRPr="00837963">
              <w:rPr>
                <w:sz w:val="18"/>
                <w:szCs w:val="18"/>
              </w:rPr>
              <w:br/>
              <w:t>Ein BEM wird eingeleitet, wenn innerhalb von 12 Monaten mehr als 6 Wochen Arbeitsunfähigkeit vorliegen (§ 167 Abs. 2 SGB IX).</w:t>
            </w:r>
            <w:r>
              <w:rPr>
                <w:sz w:val="18"/>
                <w:szCs w:val="18"/>
              </w:rPr>
              <w:t xml:space="preserve"> </w:t>
            </w:r>
            <w:r w:rsidRPr="00837963">
              <w:rPr>
                <w:sz w:val="18"/>
                <w:szCs w:val="18"/>
              </w:rPr>
              <w:t>Die Einladung erfolgt schriftlich durch HR und enthält alle gesetzlich erforderlichen Hinweise zu Ziel, Ablauf, Freiwilligkeit, Datenschutz und Vertrauensperson.</w:t>
            </w:r>
            <w:r>
              <w:rPr>
                <w:sz w:val="18"/>
                <w:szCs w:val="18"/>
              </w:rPr>
              <w:t xml:space="preserve"> </w:t>
            </w:r>
            <w:r w:rsidRPr="00837963">
              <w:rPr>
                <w:sz w:val="18"/>
                <w:szCs w:val="18"/>
              </w:rPr>
              <w:t>Die Rückmeldefrist beträgt in der Regel 3 Wochen. Erfolgt keine Rückmeldung, erfolgt eine erneute Einladung. Danach wird das Verfahren als abgelehnt dokumentiert.</w:t>
            </w:r>
          </w:p>
          <w:p w14:paraId="024C5F6A" w14:textId="56E9A63E" w:rsidR="00837963" w:rsidRPr="00837963" w:rsidRDefault="00837963" w:rsidP="00837963">
            <w:pPr>
              <w:numPr>
                <w:ilvl w:val="0"/>
                <w:numId w:val="1"/>
              </w:numPr>
              <w:ind w:left="0"/>
              <w:rPr>
                <w:sz w:val="18"/>
                <w:szCs w:val="18"/>
              </w:rPr>
            </w:pPr>
            <w:r w:rsidRPr="00837963">
              <w:rPr>
                <w:b/>
                <w:bCs/>
                <w:sz w:val="18"/>
                <w:szCs w:val="18"/>
              </w:rPr>
              <w:t>5. Integrationsteam, Rollen und Verfahren</w:t>
            </w:r>
            <w:r w:rsidRPr="00837963">
              <w:rPr>
                <w:sz w:val="18"/>
                <w:szCs w:val="18"/>
              </w:rPr>
              <w:br/>
              <w:t>Das Integrationsteam besteht aus HR (operative Durchführung und Koordination), Betriebsrat und Schwerbehindertenvertretung</w:t>
            </w:r>
            <w:r>
              <w:rPr>
                <w:sz w:val="18"/>
                <w:szCs w:val="18"/>
              </w:rPr>
              <w:t xml:space="preserve"> (SBV)</w:t>
            </w:r>
            <w:r w:rsidRPr="00837963">
              <w:rPr>
                <w:sz w:val="18"/>
                <w:szCs w:val="18"/>
              </w:rPr>
              <w:t>.</w:t>
            </w:r>
            <w:r>
              <w:rPr>
                <w:sz w:val="18"/>
                <w:szCs w:val="18"/>
              </w:rPr>
              <w:t xml:space="preserve"> </w:t>
            </w:r>
            <w:r w:rsidRPr="00837963">
              <w:rPr>
                <w:sz w:val="18"/>
                <w:szCs w:val="18"/>
              </w:rPr>
              <w:t xml:space="preserve">HR führt die BEM-Gespräche gemeinsam mit dem Betriebsrat. Die </w:t>
            </w:r>
            <w:r>
              <w:rPr>
                <w:sz w:val="18"/>
                <w:szCs w:val="18"/>
              </w:rPr>
              <w:t>SBV</w:t>
            </w:r>
            <w:r w:rsidRPr="00837963">
              <w:rPr>
                <w:sz w:val="18"/>
                <w:szCs w:val="18"/>
              </w:rPr>
              <w:t xml:space="preserve"> wird bei berechtigten Fällen beteiligt.</w:t>
            </w:r>
            <w:r>
              <w:rPr>
                <w:sz w:val="18"/>
                <w:szCs w:val="18"/>
              </w:rPr>
              <w:t xml:space="preserve"> </w:t>
            </w:r>
            <w:r w:rsidRPr="00837963">
              <w:rPr>
                <w:sz w:val="18"/>
                <w:szCs w:val="18"/>
              </w:rPr>
              <w:t>Die Maßnahmenentscheidung erfolgt im Konsens zwischen HR, Betriebsrat und betroffener Person im Rahmen der betrieblichen Möglichkeiten.</w:t>
            </w:r>
          </w:p>
          <w:p w14:paraId="4636516A" w14:textId="53B87D5C" w:rsidR="00837963" w:rsidRPr="00837963" w:rsidRDefault="00837963" w:rsidP="00837963">
            <w:pPr>
              <w:rPr>
                <w:sz w:val="18"/>
                <w:szCs w:val="18"/>
              </w:rPr>
            </w:pPr>
            <w:r w:rsidRPr="00837963">
              <w:rPr>
                <w:sz w:val="18"/>
                <w:szCs w:val="18"/>
              </w:rPr>
              <w:t>Externe Leistungsträger (z. B. Krankenkasse, Rentenversicherung, Unfallversicherung, Reha-Dienste) werden ausschließlich mit Einwilligung der betroffenen Person einbezogen. Sie werden insbesondere zur Prüfung und Einleitung von Leistungen zur medizinischen Rehabilitation sowie von Leistungen zur Teilhabe am Arbeitsleben (LTA) beteiligt. Die Kontaktaufnahme erfolgt durch HR oder auf Wunsch der betroffenen Person selbst.</w:t>
            </w:r>
            <w:r>
              <w:rPr>
                <w:sz w:val="18"/>
                <w:szCs w:val="18"/>
              </w:rPr>
              <w:t xml:space="preserve"> </w:t>
            </w:r>
            <w:r w:rsidRPr="00837963">
              <w:rPr>
                <w:sz w:val="18"/>
                <w:szCs w:val="18"/>
              </w:rPr>
              <w:t>Eine Vertrauensperson kann auf Wunsch jederzeit teilnehmen.</w:t>
            </w:r>
          </w:p>
          <w:p w14:paraId="6CCED282" w14:textId="77777777" w:rsidR="005302D0" w:rsidRDefault="00837963" w:rsidP="00837963">
            <w:pPr>
              <w:numPr>
                <w:ilvl w:val="0"/>
                <w:numId w:val="2"/>
              </w:numPr>
              <w:ind w:left="0"/>
              <w:rPr>
                <w:sz w:val="18"/>
                <w:szCs w:val="18"/>
              </w:rPr>
            </w:pPr>
            <w:r w:rsidRPr="00837963">
              <w:rPr>
                <w:b/>
                <w:bCs/>
                <w:sz w:val="18"/>
                <w:szCs w:val="18"/>
              </w:rPr>
              <w:t>6. Durchführung des BEM-Verfahrens und Maßnahmen</w:t>
            </w:r>
            <w:r w:rsidRPr="00837963">
              <w:rPr>
                <w:sz w:val="18"/>
                <w:szCs w:val="18"/>
              </w:rPr>
              <w:br/>
              <w:t>Nach Zustimmung erfolgt eine strukturierte Situationsanalyse. Auf dieser Basis wird ein individueller Maßnahmenplan erstellt. Mögliche Maßnahmen sind insbesondere:</w:t>
            </w:r>
            <w:r>
              <w:rPr>
                <w:sz w:val="18"/>
                <w:szCs w:val="18"/>
              </w:rPr>
              <w:t xml:space="preserve"> </w:t>
            </w:r>
            <w:r w:rsidRPr="00837963">
              <w:rPr>
                <w:sz w:val="18"/>
                <w:szCs w:val="18"/>
              </w:rPr>
              <w:t>Arbeitsplatzanpassung und ergonomische Gestaltung</w:t>
            </w:r>
            <w:r>
              <w:rPr>
                <w:sz w:val="18"/>
                <w:szCs w:val="18"/>
              </w:rPr>
              <w:t xml:space="preserve">, </w:t>
            </w:r>
            <w:r w:rsidRPr="00837963">
              <w:rPr>
                <w:sz w:val="18"/>
                <w:szCs w:val="18"/>
              </w:rPr>
              <w:t>Veränderung von Arbeitszeit, Arbeitsorganisation oder Arbeitsort</w:t>
            </w:r>
            <w:r>
              <w:rPr>
                <w:sz w:val="18"/>
                <w:szCs w:val="18"/>
              </w:rPr>
              <w:t xml:space="preserve">, </w:t>
            </w:r>
            <w:r w:rsidRPr="00837963">
              <w:rPr>
                <w:sz w:val="18"/>
                <w:szCs w:val="18"/>
              </w:rPr>
              <w:t>stufenweise Wiedereingliederung</w:t>
            </w:r>
            <w:r>
              <w:rPr>
                <w:sz w:val="18"/>
                <w:szCs w:val="18"/>
              </w:rPr>
              <w:t xml:space="preserve">, </w:t>
            </w:r>
            <w:r w:rsidRPr="00837963">
              <w:rPr>
                <w:sz w:val="18"/>
                <w:szCs w:val="18"/>
              </w:rPr>
              <w:t>Versetzung auf geeignete Arbeitsplätze</w:t>
            </w:r>
            <w:r w:rsidR="005302D0">
              <w:rPr>
                <w:sz w:val="18"/>
                <w:szCs w:val="18"/>
              </w:rPr>
              <w:t xml:space="preserve">, </w:t>
            </w:r>
            <w:r w:rsidRPr="005302D0">
              <w:rPr>
                <w:sz w:val="18"/>
                <w:szCs w:val="18"/>
              </w:rPr>
              <w:t xml:space="preserve">Qualifizierung, Weiterbildung, Umschulung oder technische Hilfsmittel. </w:t>
            </w:r>
          </w:p>
          <w:p w14:paraId="67DA4154" w14:textId="556EA7FC" w:rsidR="00837963" w:rsidRPr="005302D0" w:rsidRDefault="00837963" w:rsidP="00837963">
            <w:pPr>
              <w:numPr>
                <w:ilvl w:val="0"/>
                <w:numId w:val="2"/>
              </w:numPr>
              <w:ind w:left="0"/>
              <w:rPr>
                <w:sz w:val="18"/>
                <w:szCs w:val="18"/>
              </w:rPr>
            </w:pPr>
            <w:r w:rsidRPr="005302D0">
              <w:rPr>
                <w:sz w:val="18"/>
                <w:szCs w:val="18"/>
              </w:rPr>
              <w:t>BEM-Maßnahmen stellen keine einklagbaren Ansprüche dar, werden jedoch vom Arbeitgeber ernsthaft geprüft und im Rahmen der betrieblichen Möglichkeiten umgesetzt</w:t>
            </w:r>
            <w:r w:rsidR="005302D0">
              <w:rPr>
                <w:sz w:val="18"/>
                <w:szCs w:val="18"/>
              </w:rPr>
              <w:t>.</w:t>
            </w:r>
          </w:p>
          <w:p w14:paraId="3B091273" w14:textId="629F3AC7" w:rsidR="00837963" w:rsidRPr="00837963" w:rsidRDefault="00837963" w:rsidP="00837963">
            <w:pPr>
              <w:numPr>
                <w:ilvl w:val="0"/>
                <w:numId w:val="4"/>
              </w:numPr>
              <w:ind w:left="0"/>
              <w:rPr>
                <w:sz w:val="18"/>
                <w:szCs w:val="18"/>
              </w:rPr>
            </w:pPr>
            <w:r w:rsidRPr="00837963">
              <w:rPr>
                <w:b/>
                <w:bCs/>
                <w:sz w:val="18"/>
                <w:szCs w:val="18"/>
              </w:rPr>
              <w:t>7. Dokumentation</w:t>
            </w:r>
            <w:r w:rsidRPr="00837963">
              <w:rPr>
                <w:sz w:val="18"/>
                <w:szCs w:val="18"/>
              </w:rPr>
              <w:br/>
              <w:t>Es werden ausschließlich erforderliche Daten verarbeitet: Teilnahme, Maßnahmen, Ergebnisse und Vereinbarungen.</w:t>
            </w:r>
            <w:r w:rsidRPr="00837963">
              <w:rPr>
                <w:sz w:val="18"/>
                <w:szCs w:val="18"/>
              </w:rPr>
              <w:br/>
              <w:t>Die Dokumentation erfolgt getrennt von der Personalakte. Gesprächsprotokolle werden den betroffenen Personen zur Verfügung gestellt.</w:t>
            </w:r>
          </w:p>
          <w:p w14:paraId="6615A4EF" w14:textId="2B1EC63C" w:rsidR="00837963" w:rsidRPr="00837963" w:rsidRDefault="00837963" w:rsidP="00837963">
            <w:pPr>
              <w:numPr>
                <w:ilvl w:val="0"/>
                <w:numId w:val="4"/>
              </w:numPr>
              <w:ind w:left="0"/>
              <w:rPr>
                <w:sz w:val="18"/>
                <w:szCs w:val="18"/>
              </w:rPr>
            </w:pPr>
            <w:r w:rsidRPr="00837963">
              <w:rPr>
                <w:b/>
                <w:bCs/>
                <w:sz w:val="18"/>
                <w:szCs w:val="18"/>
              </w:rPr>
              <w:t>8. Datenschutz, IT-Sicherheit und Löschung</w:t>
            </w:r>
            <w:r w:rsidRPr="00837963">
              <w:rPr>
                <w:b/>
                <w:bCs/>
                <w:sz w:val="18"/>
                <w:szCs w:val="18"/>
              </w:rPr>
              <w:br/>
            </w:r>
            <w:r w:rsidRPr="00837963">
              <w:rPr>
                <w:sz w:val="18"/>
                <w:szCs w:val="18"/>
              </w:rPr>
              <w:t>BEM-Daten werden in einem gesonderten, geschützten System oder physisch getrennt aufbewahrt. Zugriff haben ausschließlich autorisierte HR-BEM-Verantwortliche.</w:t>
            </w:r>
            <w:r>
              <w:rPr>
                <w:sz w:val="18"/>
                <w:szCs w:val="18"/>
              </w:rPr>
              <w:t xml:space="preserve"> </w:t>
            </w:r>
            <w:r w:rsidRPr="00837963">
              <w:rPr>
                <w:sz w:val="18"/>
                <w:szCs w:val="18"/>
              </w:rPr>
              <w:t>Technische und organisatorische Maßnahmen (Zugriffsbeschränkung, Verschlüsselung, Protokollierung) werden angewendet.</w:t>
            </w:r>
            <w:r>
              <w:rPr>
                <w:sz w:val="18"/>
                <w:szCs w:val="18"/>
              </w:rPr>
              <w:t xml:space="preserve"> </w:t>
            </w:r>
            <w:r w:rsidRPr="00837963">
              <w:rPr>
                <w:sz w:val="18"/>
                <w:szCs w:val="18"/>
              </w:rPr>
              <w:t>Der Datenschutzbeauftragte ist eingebunden.</w:t>
            </w:r>
          </w:p>
          <w:p w14:paraId="705950A2" w14:textId="47C9E0C7" w:rsidR="00837963" w:rsidRPr="00837963" w:rsidRDefault="00837963" w:rsidP="00837963">
            <w:pPr>
              <w:rPr>
                <w:sz w:val="18"/>
                <w:szCs w:val="18"/>
              </w:rPr>
            </w:pPr>
            <w:r w:rsidRPr="00837963">
              <w:rPr>
                <w:sz w:val="18"/>
                <w:szCs w:val="18"/>
              </w:rPr>
              <w:t>Löschfristen:</w:t>
            </w:r>
            <w:r>
              <w:rPr>
                <w:sz w:val="18"/>
                <w:szCs w:val="18"/>
              </w:rPr>
              <w:t xml:space="preserve"> </w:t>
            </w:r>
            <w:r w:rsidRPr="00837963">
              <w:rPr>
                <w:sz w:val="18"/>
                <w:szCs w:val="18"/>
              </w:rPr>
              <w:t>Ablehnung der Teilnahme: Löschung innerhalb von 3 Monaten</w:t>
            </w:r>
            <w:r>
              <w:rPr>
                <w:sz w:val="18"/>
                <w:szCs w:val="18"/>
              </w:rPr>
              <w:t xml:space="preserve"> / </w:t>
            </w:r>
            <w:r w:rsidRPr="00837963">
              <w:rPr>
                <w:sz w:val="18"/>
                <w:szCs w:val="18"/>
              </w:rPr>
              <w:t>Abschluss des BEM-Verfahrens: Löschung nach 3 Jahren</w:t>
            </w:r>
            <w:r>
              <w:rPr>
                <w:sz w:val="18"/>
                <w:szCs w:val="18"/>
              </w:rPr>
              <w:t xml:space="preserve"> / </w:t>
            </w:r>
            <w:r w:rsidRPr="00837963">
              <w:rPr>
                <w:sz w:val="18"/>
                <w:szCs w:val="18"/>
              </w:rPr>
              <w:t>erneute BEM-Pflicht setzt Frist neu in Gang</w:t>
            </w:r>
            <w:r>
              <w:rPr>
                <w:sz w:val="18"/>
                <w:szCs w:val="18"/>
              </w:rPr>
              <w:t>. A</w:t>
            </w:r>
            <w:r w:rsidRPr="00837963">
              <w:rPr>
                <w:sz w:val="18"/>
                <w:szCs w:val="18"/>
              </w:rPr>
              <w:t xml:space="preserve">nonymisierte Auswertungen </w:t>
            </w:r>
            <w:r>
              <w:rPr>
                <w:sz w:val="18"/>
                <w:szCs w:val="18"/>
              </w:rPr>
              <w:t>sind</w:t>
            </w:r>
            <w:r w:rsidRPr="00837963">
              <w:rPr>
                <w:sz w:val="18"/>
                <w:szCs w:val="18"/>
              </w:rPr>
              <w:t xml:space="preserve"> zulässig</w:t>
            </w:r>
            <w:r>
              <w:rPr>
                <w:sz w:val="18"/>
                <w:szCs w:val="18"/>
              </w:rPr>
              <w:t>.</w:t>
            </w:r>
          </w:p>
          <w:p w14:paraId="5450FCE8" w14:textId="37620E43" w:rsidR="00837963" w:rsidRPr="00837963" w:rsidRDefault="00837963" w:rsidP="00837963">
            <w:pPr>
              <w:numPr>
                <w:ilvl w:val="0"/>
                <w:numId w:val="6"/>
              </w:numPr>
              <w:ind w:left="0"/>
              <w:rPr>
                <w:sz w:val="18"/>
                <w:szCs w:val="18"/>
              </w:rPr>
            </w:pPr>
            <w:r w:rsidRPr="00837963">
              <w:rPr>
                <w:b/>
                <w:bCs/>
                <w:sz w:val="18"/>
                <w:szCs w:val="18"/>
              </w:rPr>
              <w:t>9. Abbruch und Wiederaufnahme</w:t>
            </w:r>
            <w:r w:rsidRPr="00837963">
              <w:rPr>
                <w:sz w:val="18"/>
                <w:szCs w:val="18"/>
              </w:rPr>
              <w:br/>
              <w:t>Ein BEM kann bei Widerruf, fehlender Mitwirkung oder Unmöglichkeit der Maßnahmen beendet werden. Der Abbruch wird dokumentiert. Ein erneutes BEM ist bei erneuter Voraussetzung möglich.</w:t>
            </w:r>
          </w:p>
          <w:p w14:paraId="2D2801AE" w14:textId="77777777" w:rsidR="00837963" w:rsidRPr="00837963" w:rsidRDefault="00837963" w:rsidP="00837963">
            <w:pPr>
              <w:numPr>
                <w:ilvl w:val="0"/>
                <w:numId w:val="6"/>
              </w:numPr>
              <w:ind w:left="0"/>
              <w:rPr>
                <w:sz w:val="18"/>
                <w:szCs w:val="18"/>
              </w:rPr>
            </w:pPr>
            <w:r w:rsidRPr="00837963">
              <w:rPr>
                <w:b/>
                <w:bCs/>
                <w:sz w:val="18"/>
                <w:szCs w:val="18"/>
              </w:rPr>
              <w:t xml:space="preserve">10. Informationsrechte des </w:t>
            </w:r>
            <w:r>
              <w:rPr>
                <w:b/>
                <w:bCs/>
                <w:sz w:val="18"/>
                <w:szCs w:val="18"/>
              </w:rPr>
              <w:t>BR und SBV</w:t>
            </w:r>
          </w:p>
          <w:p w14:paraId="26D13E12" w14:textId="112F4864" w:rsidR="00837963" w:rsidRPr="00837963" w:rsidRDefault="00837963" w:rsidP="00837963">
            <w:pPr>
              <w:numPr>
                <w:ilvl w:val="0"/>
                <w:numId w:val="6"/>
              </w:numPr>
              <w:ind w:left="0"/>
              <w:rPr>
                <w:sz w:val="18"/>
                <w:szCs w:val="18"/>
              </w:rPr>
            </w:pPr>
            <w:r w:rsidRPr="00837963">
              <w:rPr>
                <w:sz w:val="18"/>
                <w:szCs w:val="18"/>
              </w:rPr>
              <w:t>Der Betriebsrat erhält regelmäßig, mindestens quartalsweise, eine Übersicht der BEM-berechtigten Beschäftigten. Diese enthält ausschließlich:</w:t>
            </w:r>
            <w:r>
              <w:rPr>
                <w:sz w:val="18"/>
                <w:szCs w:val="18"/>
              </w:rPr>
              <w:t xml:space="preserve"> </w:t>
            </w:r>
            <w:r w:rsidRPr="00837963">
              <w:rPr>
                <w:sz w:val="18"/>
                <w:szCs w:val="18"/>
              </w:rPr>
              <w:t>anonymisierte Fallkennung (Fall-ID)</w:t>
            </w:r>
            <w:r>
              <w:rPr>
                <w:sz w:val="18"/>
                <w:szCs w:val="18"/>
              </w:rPr>
              <w:t xml:space="preserve"> / </w:t>
            </w:r>
            <w:r w:rsidRPr="00837963">
              <w:rPr>
                <w:sz w:val="18"/>
                <w:szCs w:val="18"/>
              </w:rPr>
              <w:t>Feststellung der BEM-Berechtigung</w:t>
            </w:r>
            <w:r>
              <w:rPr>
                <w:sz w:val="18"/>
                <w:szCs w:val="18"/>
              </w:rPr>
              <w:t xml:space="preserve"> /</w:t>
            </w:r>
            <w:r w:rsidR="005302D0">
              <w:rPr>
                <w:sz w:val="18"/>
                <w:szCs w:val="18"/>
              </w:rPr>
              <w:t xml:space="preserve"> </w:t>
            </w:r>
            <w:r w:rsidRPr="00837963">
              <w:rPr>
                <w:sz w:val="18"/>
                <w:szCs w:val="18"/>
              </w:rPr>
              <w:t>Datum des Erreichens der 6-Wochen-Frist</w:t>
            </w:r>
            <w:r>
              <w:rPr>
                <w:sz w:val="18"/>
                <w:szCs w:val="18"/>
              </w:rPr>
              <w:t xml:space="preserve"> / </w:t>
            </w:r>
            <w:r w:rsidRPr="00837963">
              <w:rPr>
                <w:sz w:val="18"/>
                <w:szCs w:val="18"/>
              </w:rPr>
              <w:t>Verfahrensstatus (Einladung, Zustimmung, laufend, abgeschlossen, abgelehnt)</w:t>
            </w:r>
            <w:r>
              <w:rPr>
                <w:sz w:val="18"/>
                <w:szCs w:val="18"/>
              </w:rPr>
              <w:t xml:space="preserve">. </w:t>
            </w:r>
            <w:r w:rsidRPr="00837963">
              <w:rPr>
                <w:sz w:val="18"/>
                <w:szCs w:val="18"/>
              </w:rPr>
              <w:t>Personenbezogene Daten oder Gesundheitsdaten werden nicht übermittelt.</w:t>
            </w:r>
          </w:p>
          <w:p w14:paraId="6EBFE744" w14:textId="2382866E" w:rsidR="00837963" w:rsidRPr="00837963" w:rsidRDefault="00837963" w:rsidP="00837963">
            <w:pPr>
              <w:rPr>
                <w:sz w:val="18"/>
                <w:szCs w:val="18"/>
              </w:rPr>
            </w:pPr>
            <w:r w:rsidRPr="00837963">
              <w:rPr>
                <w:sz w:val="18"/>
                <w:szCs w:val="18"/>
              </w:rPr>
              <w:t>Zusätzlich erhält der Betriebsrat anonymisierte Gesamtauswertungen</w:t>
            </w:r>
            <w:r>
              <w:rPr>
                <w:sz w:val="18"/>
                <w:szCs w:val="18"/>
              </w:rPr>
              <w:t xml:space="preserve"> in Form eines Jahresberichtes</w:t>
            </w:r>
            <w:r w:rsidRPr="00837963">
              <w:rPr>
                <w:sz w:val="18"/>
                <w:szCs w:val="18"/>
              </w:rPr>
              <w:t xml:space="preserve"> über:</w:t>
            </w:r>
          </w:p>
          <w:p w14:paraId="2CA61B16" w14:textId="6816C4F6" w:rsidR="00837963" w:rsidRPr="00837963" w:rsidRDefault="00837963" w:rsidP="00837963">
            <w:pPr>
              <w:numPr>
                <w:ilvl w:val="0"/>
                <w:numId w:val="8"/>
              </w:numPr>
              <w:ind w:left="0"/>
              <w:rPr>
                <w:sz w:val="18"/>
                <w:szCs w:val="18"/>
              </w:rPr>
            </w:pPr>
            <w:r w:rsidRPr="00837963">
              <w:rPr>
                <w:sz w:val="18"/>
                <w:szCs w:val="18"/>
              </w:rPr>
              <w:t>Anzahl der BEM-Verfahren</w:t>
            </w:r>
            <w:r>
              <w:rPr>
                <w:sz w:val="18"/>
                <w:szCs w:val="18"/>
              </w:rPr>
              <w:t xml:space="preserve"> / </w:t>
            </w:r>
            <w:r w:rsidRPr="00837963">
              <w:rPr>
                <w:sz w:val="18"/>
                <w:szCs w:val="18"/>
              </w:rPr>
              <w:t>Teilnahme- und Ablehnungsquoten</w:t>
            </w:r>
            <w:r>
              <w:rPr>
                <w:sz w:val="18"/>
                <w:szCs w:val="18"/>
              </w:rPr>
              <w:t xml:space="preserve"> / </w:t>
            </w:r>
            <w:r w:rsidRPr="00837963">
              <w:rPr>
                <w:sz w:val="18"/>
                <w:szCs w:val="18"/>
              </w:rPr>
              <w:t>Maßnahmenarten</w:t>
            </w:r>
            <w:r>
              <w:rPr>
                <w:sz w:val="18"/>
                <w:szCs w:val="18"/>
              </w:rPr>
              <w:t xml:space="preserve"> / </w:t>
            </w:r>
            <w:r w:rsidRPr="00837963">
              <w:rPr>
                <w:sz w:val="18"/>
                <w:szCs w:val="18"/>
              </w:rPr>
              <w:t>Wiedereingliederungserfolge</w:t>
            </w:r>
          </w:p>
          <w:p w14:paraId="5831B80E" w14:textId="1F08A4F8" w:rsidR="00837963" w:rsidRDefault="00837963" w:rsidP="00837963">
            <w:pPr>
              <w:rPr>
                <w:sz w:val="18"/>
                <w:szCs w:val="18"/>
              </w:rPr>
            </w:pPr>
            <w:r w:rsidRPr="00837963">
              <w:rPr>
                <w:sz w:val="18"/>
                <w:szCs w:val="18"/>
              </w:rPr>
              <w:t>zur Wahrnehmung seiner gesetzlichen Aufgaben.</w:t>
            </w:r>
          </w:p>
          <w:p w14:paraId="45507DA8" w14:textId="5D9B2604" w:rsidR="00837963" w:rsidRPr="00837963" w:rsidRDefault="00837963" w:rsidP="00837963">
            <w:pPr>
              <w:numPr>
                <w:ilvl w:val="0"/>
                <w:numId w:val="6"/>
              </w:numPr>
              <w:ind w:left="0"/>
              <w:rPr>
                <w:sz w:val="18"/>
                <w:szCs w:val="18"/>
              </w:rPr>
            </w:pPr>
            <w:r w:rsidRPr="00837963">
              <w:rPr>
                <w:b/>
                <w:bCs/>
                <w:sz w:val="18"/>
                <w:szCs w:val="18"/>
              </w:rPr>
              <w:t>11. Schlussbestimmungen</w:t>
            </w:r>
            <w:r w:rsidRPr="00837963">
              <w:rPr>
                <w:sz w:val="18"/>
                <w:szCs w:val="18"/>
              </w:rPr>
              <w:br/>
              <w:t>Konflikte werden im Integrationsteam gelöst. Diese Vereinbarung tritt mit Unterzeichnung in Kraft und wird regelmäßig überprüft.</w:t>
            </w:r>
          </w:p>
        </w:tc>
      </w:tr>
      <w:tr w:rsidR="00837963" w:rsidRPr="00837963" w14:paraId="0031E9E6" w14:textId="77777777" w:rsidTr="00837963">
        <w:tc>
          <w:tcPr>
            <w:tcW w:w="9212" w:type="dxa"/>
          </w:tcPr>
          <w:p w14:paraId="542A920D" w14:textId="50C50BBA" w:rsidR="00837963" w:rsidRPr="00837963" w:rsidRDefault="00837963" w:rsidP="00837963">
            <w:pPr>
              <w:rPr>
                <w:b/>
                <w:bCs/>
                <w:sz w:val="18"/>
                <w:szCs w:val="18"/>
              </w:rPr>
            </w:pPr>
            <w:r w:rsidRPr="00837963">
              <w:rPr>
                <w:sz w:val="18"/>
                <w:szCs w:val="18"/>
              </w:rPr>
              <w:lastRenderedPageBreak/>
              <w:t>Zu finden unter adiuva.de unter der Eingabe des Titels im Suchfeld</w:t>
            </w:r>
          </w:p>
        </w:tc>
      </w:tr>
    </w:tbl>
    <w:p w14:paraId="7C7EA543" w14:textId="77777777" w:rsidR="007A5896" w:rsidRPr="00837963" w:rsidRDefault="007A5896">
      <w:pPr>
        <w:rPr>
          <w:sz w:val="18"/>
          <w:szCs w:val="18"/>
        </w:rPr>
      </w:pPr>
    </w:p>
    <w:p w14:paraId="150A7ABC" w14:textId="77777777" w:rsidR="00837963" w:rsidRPr="00837963" w:rsidRDefault="00837963">
      <w:pPr>
        <w:rPr>
          <w:sz w:val="18"/>
          <w:szCs w:val="18"/>
        </w:rPr>
      </w:pPr>
    </w:p>
    <w:sectPr w:rsidR="00837963" w:rsidRPr="008379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2F4"/>
    <w:multiLevelType w:val="multilevel"/>
    <w:tmpl w:val="982E84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71221"/>
    <w:multiLevelType w:val="multilevel"/>
    <w:tmpl w:val="79D421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323B4"/>
    <w:multiLevelType w:val="multilevel"/>
    <w:tmpl w:val="44864164"/>
    <w:lvl w:ilvl="0">
      <w:start w:val="1"/>
      <w:numFmt w:val="decimal"/>
      <w:lvlText w:val="%1."/>
      <w:lvlJc w:val="left"/>
      <w:pPr>
        <w:tabs>
          <w:tab w:val="num" w:pos="720"/>
        </w:tabs>
        <w:ind w:left="720" w:hanging="360"/>
      </w:pPr>
      <w:rPr>
        <w:rFonts w:ascii="Calibri" w:eastAsiaTheme="minorHAnsi" w:hAnsi="Calibr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D95B38"/>
    <w:multiLevelType w:val="multilevel"/>
    <w:tmpl w:val="8618BF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9C68DD"/>
    <w:multiLevelType w:val="multilevel"/>
    <w:tmpl w:val="849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07A83"/>
    <w:multiLevelType w:val="multilevel"/>
    <w:tmpl w:val="9AD2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20E3B"/>
    <w:multiLevelType w:val="hybridMultilevel"/>
    <w:tmpl w:val="FFCA9DA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92D3881"/>
    <w:multiLevelType w:val="multilevel"/>
    <w:tmpl w:val="BAD0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751361"/>
    <w:multiLevelType w:val="multilevel"/>
    <w:tmpl w:val="2B02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E95A53"/>
    <w:multiLevelType w:val="hybridMultilevel"/>
    <w:tmpl w:val="61E4E5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97080865">
    <w:abstractNumId w:val="2"/>
  </w:num>
  <w:num w:numId="2" w16cid:durableId="1161896997">
    <w:abstractNumId w:val="0"/>
  </w:num>
  <w:num w:numId="3" w16cid:durableId="1346590700">
    <w:abstractNumId w:val="4"/>
  </w:num>
  <w:num w:numId="4" w16cid:durableId="1026907537">
    <w:abstractNumId w:val="3"/>
  </w:num>
  <w:num w:numId="5" w16cid:durableId="1408846369">
    <w:abstractNumId w:val="5"/>
  </w:num>
  <w:num w:numId="6" w16cid:durableId="156768216">
    <w:abstractNumId w:val="1"/>
  </w:num>
  <w:num w:numId="7" w16cid:durableId="1029257805">
    <w:abstractNumId w:val="7"/>
  </w:num>
  <w:num w:numId="8" w16cid:durableId="1961568842">
    <w:abstractNumId w:val="8"/>
  </w:num>
  <w:num w:numId="9" w16cid:durableId="301548138">
    <w:abstractNumId w:val="9"/>
  </w:num>
  <w:num w:numId="10" w16cid:durableId="761604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63"/>
    <w:rsid w:val="000D2026"/>
    <w:rsid w:val="001B6CF1"/>
    <w:rsid w:val="005302D0"/>
    <w:rsid w:val="00585EF7"/>
    <w:rsid w:val="00773C23"/>
    <w:rsid w:val="007A5896"/>
    <w:rsid w:val="00837963"/>
    <w:rsid w:val="00853448"/>
    <w:rsid w:val="0091003A"/>
    <w:rsid w:val="009F1318"/>
    <w:rsid w:val="009F4E03"/>
    <w:rsid w:val="00A22A99"/>
    <w:rsid w:val="00E9457C"/>
    <w:rsid w:val="00F62228"/>
    <w:rsid w:val="00F813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F0A8"/>
  <w15:chartTrackingRefBased/>
  <w15:docId w15:val="{51D5917D-E1B8-4D87-A3AE-7601D095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7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7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79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79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796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79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7963"/>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37963"/>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7963"/>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796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796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7963"/>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7963"/>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7963"/>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3796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796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3796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796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37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796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79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796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3796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37963"/>
    <w:rPr>
      <w:i/>
      <w:iCs/>
      <w:color w:val="404040" w:themeColor="text1" w:themeTint="BF"/>
    </w:rPr>
  </w:style>
  <w:style w:type="paragraph" w:styleId="Listenabsatz">
    <w:name w:val="List Paragraph"/>
    <w:basedOn w:val="Standard"/>
    <w:uiPriority w:val="34"/>
    <w:qFormat/>
    <w:rsid w:val="00837963"/>
    <w:pPr>
      <w:ind w:left="720"/>
      <w:contextualSpacing/>
    </w:pPr>
  </w:style>
  <w:style w:type="character" w:styleId="IntensiveHervorhebung">
    <w:name w:val="Intense Emphasis"/>
    <w:basedOn w:val="Absatz-Standardschriftart"/>
    <w:uiPriority w:val="21"/>
    <w:qFormat/>
    <w:rsid w:val="00837963"/>
    <w:rPr>
      <w:i/>
      <w:iCs/>
      <w:color w:val="0F4761" w:themeColor="accent1" w:themeShade="BF"/>
    </w:rPr>
  </w:style>
  <w:style w:type="paragraph" w:styleId="IntensivesZitat">
    <w:name w:val="Intense Quote"/>
    <w:basedOn w:val="Standard"/>
    <w:next w:val="Standard"/>
    <w:link w:val="IntensivesZitatZchn"/>
    <w:uiPriority w:val="30"/>
    <w:qFormat/>
    <w:rsid w:val="00837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7963"/>
    <w:rPr>
      <w:i/>
      <w:iCs/>
      <w:color w:val="0F4761" w:themeColor="accent1" w:themeShade="BF"/>
    </w:rPr>
  </w:style>
  <w:style w:type="character" w:styleId="IntensiverVerweis">
    <w:name w:val="Intense Reference"/>
    <w:basedOn w:val="Absatz-Standardschriftart"/>
    <w:uiPriority w:val="32"/>
    <w:qFormat/>
    <w:rsid w:val="00837963"/>
    <w:rPr>
      <w:b/>
      <w:bCs/>
      <w:smallCaps/>
      <w:color w:val="0F4761" w:themeColor="accent1" w:themeShade="BF"/>
      <w:spacing w:val="5"/>
    </w:rPr>
  </w:style>
  <w:style w:type="table" w:styleId="Tabellenraster">
    <w:name w:val="Table Grid"/>
    <w:basedOn w:val="NormaleTabelle"/>
    <w:uiPriority w:val="39"/>
    <w:rsid w:val="00837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126527">
      <w:bodyDiv w:val="1"/>
      <w:marLeft w:val="0"/>
      <w:marRight w:val="0"/>
      <w:marTop w:val="0"/>
      <w:marBottom w:val="0"/>
      <w:divBdr>
        <w:top w:val="none" w:sz="0" w:space="0" w:color="auto"/>
        <w:left w:val="none" w:sz="0" w:space="0" w:color="auto"/>
        <w:bottom w:val="none" w:sz="0" w:space="0" w:color="auto"/>
        <w:right w:val="none" w:sz="0" w:space="0" w:color="auto"/>
      </w:divBdr>
    </w:div>
    <w:div w:id="174772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4669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2026-05-08T17:19:00Z</dcterms:created>
  <dcterms:modified xsi:type="dcterms:W3CDTF">2026-05-08T17:19:00Z</dcterms:modified>
</cp:coreProperties>
</file>