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F6A20" w14:textId="77777777" w:rsidR="007761BB" w:rsidRDefault="00000000">
      <w:pPr>
        <w:pStyle w:val="berschrift1"/>
      </w:pPr>
      <w:r>
        <w:t>Die wichtigsten Antworten rund ums BEM</w:t>
      </w:r>
    </w:p>
    <w:p w14:paraId="18570719" w14:textId="77777777" w:rsidR="007761BB" w:rsidRDefault="00000000">
      <w:pPr>
        <w:spacing w:after="160"/>
      </w:pPr>
      <w:r>
        <w:t>Die häufigsten Fragen von Schwerbehindertenvertretungen zum BEM – kompakt beantwortet.</w:t>
      </w:r>
    </w:p>
    <w:p w14:paraId="5DB809C5" w14:textId="77777777" w:rsidR="007761BB" w:rsidRDefault="00000000">
      <w:pPr>
        <w:spacing w:after="60"/>
      </w:pPr>
      <w:r>
        <w:rPr>
          <w:b/>
          <w:bCs/>
        </w:rPr>
        <w:t>Was passiert, wenn der betroffene Mitarbeiter nicht will?</w:t>
      </w:r>
    </w:p>
    <w:p w14:paraId="785BB38A" w14:textId="77777777" w:rsidR="007761BB" w:rsidRDefault="00000000">
      <w:pPr>
        <w:spacing w:after="160"/>
      </w:pPr>
      <w:r>
        <w:t>Die Weigerung hat zunächst keine Folgen und muss nicht begründet werden. Bei einer krankheitsbedingten Kündigung kann sich der Beschäftigte aber nicht darauf berufen, dass kein Versuch unternommen wurde, den Arbeitsplatz leidens- oder behinderungsgerecht anzupassen. Als Vertrauensperson können Sie aufklären, wie er vom Prozess profitiert.</w:t>
      </w:r>
    </w:p>
    <w:p w14:paraId="7103A154" w14:textId="77777777" w:rsidR="007761BB" w:rsidRDefault="00000000">
      <w:pPr>
        <w:spacing w:after="60"/>
      </w:pPr>
      <w:r>
        <w:rPr>
          <w:b/>
          <w:bCs/>
        </w:rPr>
        <w:t>Wie können Ängste der Beschäftigten abgebaut werden?</w:t>
      </w:r>
    </w:p>
    <w:p w14:paraId="3350F872" w14:textId="77777777" w:rsidR="007761BB" w:rsidRDefault="00000000">
      <w:pPr>
        <w:spacing w:after="160"/>
      </w:pPr>
      <w:r>
        <w:t>Am hilfreichsten ist umfassende Information – idealerweise schon außerhalb konkreter Fälle (Rundschreiben, Info-Veranstaltungen). Im Verfahren wird der Mitarbeiter nochmals über Ziele, Beteiligte und Ablauf aufgeklärt. Durch begleitende Unterstützung bauen Sie viele Ängste ab.</w:t>
      </w:r>
    </w:p>
    <w:p w14:paraId="4457FAAA" w14:textId="77777777" w:rsidR="007761BB" w:rsidRDefault="00000000">
      <w:pPr>
        <w:spacing w:after="60"/>
      </w:pPr>
      <w:r>
        <w:rPr>
          <w:b/>
          <w:bCs/>
        </w:rPr>
        <w:t>Kann die SBV die Durchführung eines BEM allein erreichen?</w:t>
      </w:r>
    </w:p>
    <w:p w14:paraId="7E383002" w14:textId="77777777" w:rsidR="007761BB" w:rsidRDefault="00000000">
      <w:pPr>
        <w:spacing w:after="160"/>
      </w:pPr>
      <w:r>
        <w:t>Nach § 167 Abs. 2 S. 6 SGB IX können Sie die Klärung verlangen und im arbeitsgerichtlichen Beschlussverfahren durchsetzen; dazu kommt das Kontrollrecht nach S. 7. Einen generellen Anspruch auf Einführung eines BEM lässt sich daraus aber nicht ableiten – ohne den Arbeitgeber geht es nicht; notfalls den Rechtsweg beschreiten.</w:t>
      </w:r>
    </w:p>
    <w:p w14:paraId="4C96BE47" w14:textId="77777777" w:rsidR="007761BB" w:rsidRDefault="00000000">
      <w:pPr>
        <w:spacing w:after="60"/>
      </w:pPr>
      <w:r>
        <w:rPr>
          <w:b/>
          <w:bCs/>
        </w:rPr>
        <w:t>Darf die SBV vor dem Arbeitgeber tätig werden?</w:t>
      </w:r>
    </w:p>
    <w:p w14:paraId="4E0E85E1" w14:textId="77777777" w:rsidR="007761BB" w:rsidRDefault="00000000">
      <w:pPr>
        <w:spacing w:after="160"/>
      </w:pPr>
      <w:r>
        <w:t>Das ist nicht untersagt, sogar sinnvoll: Die SBV darf die Belegschaft über das BEM informieren. Das ist aber noch nicht Teil des Verfahrens – dieses wird immer vom Arbeitgeber eingeleitet.</w:t>
      </w:r>
    </w:p>
    <w:p w14:paraId="1E32EBA5" w14:textId="77777777" w:rsidR="007761BB" w:rsidRDefault="00000000">
      <w:pPr>
        <w:spacing w:after="60"/>
      </w:pPr>
      <w:r>
        <w:rPr>
          <w:b/>
          <w:bCs/>
        </w:rPr>
        <w:t>Kann der Arbeitgeber den Erstkontakt an die SBV delegieren?</w:t>
      </w:r>
    </w:p>
    <w:p w14:paraId="2286E9CB" w14:textId="77777777" w:rsidR="007761BB" w:rsidRDefault="00000000">
      <w:pPr>
        <w:spacing w:after="160"/>
      </w:pPr>
      <w:r>
        <w:t>Ja, wenn er zuvor das Einverständnis zur Durchführung des BEM und zur Information der übrigen Beteiligten eingeholt hat. Besonders sinnvoll, wenn große Vorbehalte zu erwarten sind.</w:t>
      </w:r>
    </w:p>
    <w:p w14:paraId="2CC3C3D9" w14:textId="77777777" w:rsidR="007761BB" w:rsidRDefault="00000000">
      <w:pPr>
        <w:spacing w:after="60"/>
      </w:pPr>
      <w:r>
        <w:rPr>
          <w:b/>
          <w:bCs/>
        </w:rPr>
        <w:t>Was muss der Arbeitgeber befürchten, wenn er kein BEM durchführt?</w:t>
      </w:r>
    </w:p>
    <w:p w14:paraId="6D3D3106" w14:textId="77777777" w:rsidR="007761BB" w:rsidRDefault="00000000">
      <w:pPr>
        <w:spacing w:after="160"/>
      </w:pPr>
      <w:r>
        <w:t>Unmittelbar drohen keine Sanktionen (kein Ordnungswidrigkeitstatbestand). Die Rechtsprechung sieht jedoch eine krankheitsbedingte Kündigung ohne BEM als möglicherweise unverhältnismäßig und sozialwidrig an; dem Arbeitgeber kann eine vorschnelle Kündigung vorgehalten werden.</w:t>
      </w:r>
    </w:p>
    <w:p w14:paraId="5F8EA12C" w14:textId="77777777" w:rsidR="007761BB" w:rsidRDefault="00000000">
      <w:pPr>
        <w:spacing w:after="60"/>
      </w:pPr>
      <w:r>
        <w:rPr>
          <w:b/>
          <w:bCs/>
        </w:rPr>
        <w:t>Kann der Mitarbeiter seine Zustimmung später zurückziehen?</w:t>
      </w:r>
    </w:p>
    <w:p w14:paraId="7DCA07B2" w14:textId="77777777" w:rsidR="007761BB" w:rsidRDefault="00000000">
      <w:pPr>
        <w:spacing w:after="160"/>
      </w:pPr>
      <w:r>
        <w:t>Ja, jederzeit. Suchen Sie das Gespräch, forschen Sie nach den Ursachen – vielleicht lassen sich Fehler ausräumen und der Beschäftigte umstimmen.</w:t>
      </w:r>
    </w:p>
    <w:p w14:paraId="4A963B63" w14:textId="75319E41" w:rsidR="007761BB" w:rsidRDefault="007761BB">
      <w:pPr>
        <w:spacing w:before="240"/>
      </w:pPr>
    </w:p>
    <w:sectPr w:rsidR="007761B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86976"/>
    <w:multiLevelType w:val="hybridMultilevel"/>
    <w:tmpl w:val="2AF08F52"/>
    <w:lvl w:ilvl="0" w:tplc="DFC884CC">
      <w:start w:val="1"/>
      <w:numFmt w:val="bullet"/>
      <w:lvlText w:val="●"/>
      <w:lvlJc w:val="left"/>
      <w:pPr>
        <w:ind w:left="720" w:hanging="360"/>
      </w:pPr>
    </w:lvl>
    <w:lvl w:ilvl="1" w:tplc="04DE1EA8">
      <w:start w:val="1"/>
      <w:numFmt w:val="bullet"/>
      <w:lvlText w:val="○"/>
      <w:lvlJc w:val="left"/>
      <w:pPr>
        <w:ind w:left="1440" w:hanging="360"/>
      </w:pPr>
    </w:lvl>
    <w:lvl w:ilvl="2" w:tplc="71B004A4">
      <w:start w:val="1"/>
      <w:numFmt w:val="bullet"/>
      <w:lvlText w:val="■"/>
      <w:lvlJc w:val="left"/>
      <w:pPr>
        <w:ind w:left="2160" w:hanging="360"/>
      </w:pPr>
    </w:lvl>
    <w:lvl w:ilvl="3" w:tplc="59B6142C">
      <w:start w:val="1"/>
      <w:numFmt w:val="bullet"/>
      <w:lvlText w:val="●"/>
      <w:lvlJc w:val="left"/>
      <w:pPr>
        <w:ind w:left="2880" w:hanging="360"/>
      </w:pPr>
    </w:lvl>
    <w:lvl w:ilvl="4" w:tplc="40ECF028">
      <w:start w:val="1"/>
      <w:numFmt w:val="bullet"/>
      <w:lvlText w:val="○"/>
      <w:lvlJc w:val="left"/>
      <w:pPr>
        <w:ind w:left="3600" w:hanging="360"/>
      </w:pPr>
    </w:lvl>
    <w:lvl w:ilvl="5" w:tplc="CECA93FA">
      <w:start w:val="1"/>
      <w:numFmt w:val="bullet"/>
      <w:lvlText w:val="■"/>
      <w:lvlJc w:val="left"/>
      <w:pPr>
        <w:ind w:left="4320" w:hanging="360"/>
      </w:pPr>
    </w:lvl>
    <w:lvl w:ilvl="6" w:tplc="50C06F72">
      <w:start w:val="1"/>
      <w:numFmt w:val="bullet"/>
      <w:lvlText w:val="●"/>
      <w:lvlJc w:val="left"/>
      <w:pPr>
        <w:ind w:left="5040" w:hanging="360"/>
      </w:pPr>
    </w:lvl>
    <w:lvl w:ilvl="7" w:tplc="09C08AAA">
      <w:start w:val="1"/>
      <w:numFmt w:val="bullet"/>
      <w:lvlText w:val="●"/>
      <w:lvlJc w:val="left"/>
      <w:pPr>
        <w:ind w:left="5760" w:hanging="360"/>
      </w:pPr>
    </w:lvl>
    <w:lvl w:ilvl="8" w:tplc="36CA4A7A">
      <w:start w:val="1"/>
      <w:numFmt w:val="bullet"/>
      <w:lvlText w:val="●"/>
      <w:lvlJc w:val="left"/>
      <w:pPr>
        <w:ind w:left="6480" w:hanging="360"/>
      </w:pPr>
    </w:lvl>
  </w:abstractNum>
  <w:num w:numId="1" w16cid:durableId="7654211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1BB"/>
    <w:rsid w:val="007761BB"/>
    <w:rsid w:val="00AF1125"/>
    <w:rsid w:val="00C175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27330"/>
  <w15:docId w15:val="{C36A992D-08FD-4DCF-87EF-FCA68607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spacing w:before="120" w:after="160"/>
      <w:outlineLvl w:val="0"/>
    </w:pPr>
    <w:rPr>
      <w:b/>
      <w:bCs/>
      <w:color w:val="15315F"/>
      <w:sz w:val="32"/>
      <w:szCs w:val="32"/>
    </w:rPr>
  </w:style>
  <w:style w:type="paragraph" w:styleId="berschrift2">
    <w:name w:val="heading 2"/>
    <w:uiPriority w:val="9"/>
    <w:semiHidden/>
    <w:unhideWhenUsed/>
    <w:qFormat/>
    <w:pPr>
      <w:spacing w:before="240" w:after="120"/>
      <w:outlineLvl w:val="1"/>
    </w:pPr>
    <w:rPr>
      <w:b/>
      <w:bCs/>
      <w:color w:val="15315F"/>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1953</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CHn - Carolin Herrmann</cp:lastModifiedBy>
  <cp:revision>2</cp:revision>
  <dcterms:created xsi:type="dcterms:W3CDTF">2026-06-08T17:00:00Z</dcterms:created>
  <dcterms:modified xsi:type="dcterms:W3CDTF">2026-06-23T13:40:00Z</dcterms:modified>
</cp:coreProperties>
</file>