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238" w:rsidRPr="00173238" w:rsidRDefault="00173238">
      <w:pPr>
        <w:rPr>
          <w:sz w:val="36"/>
          <w:szCs w:val="36"/>
        </w:rPr>
      </w:pPr>
      <w:r w:rsidRPr="00173238">
        <w:rPr>
          <w:rFonts w:asciiTheme="majorHAnsi" w:hAnsiTheme="majorHAnsi" w:cstheme="majorHAnsi"/>
          <w:b/>
          <w:bCs/>
          <w:color w:val="000000" w:themeColor="text1"/>
          <w:spacing w:val="-2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Übersicht: </w:t>
      </w:r>
      <w:r w:rsidRPr="00173238">
        <w:rPr>
          <w:rFonts w:asciiTheme="majorHAnsi" w:hAnsiTheme="majorHAnsi" w:cstheme="majorHAnsi"/>
          <w:b/>
          <w:bCs/>
          <w:color w:val="000000" w:themeColor="text1"/>
          <w:spacing w:val="-2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Musteraktenplan</w:t>
      </w:r>
    </w:p>
    <w:tbl>
      <w:tblPr>
        <w:tblStyle w:val="Tabellenraster"/>
        <w:tblW w:w="9918" w:type="dxa"/>
        <w:tblLayout w:type="fixed"/>
        <w:tblLook w:val="0000" w:firstRow="0" w:lastRow="0" w:firstColumn="0" w:lastColumn="0" w:noHBand="0" w:noVBand="0"/>
      </w:tblPr>
      <w:tblGrid>
        <w:gridCol w:w="2122"/>
        <w:gridCol w:w="5103"/>
        <w:gridCol w:w="2693"/>
      </w:tblGrid>
      <w:tr w:rsidR="00173238" w:rsidRPr="00173238" w:rsidTr="00173238">
        <w:trPr>
          <w:trHeight w:val="787"/>
        </w:trPr>
        <w:tc>
          <w:tcPr>
            <w:tcW w:w="2122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Übergeordnete Gruppe</w:t>
            </w:r>
          </w:p>
        </w:tc>
        <w:tc>
          <w:tcPr>
            <w:tcW w:w="510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Vorgänge</w:t>
            </w:r>
          </w:p>
        </w:tc>
        <w:tc>
          <w:tcPr>
            <w:tcW w:w="269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Vereinbarte ­</w:t>
            </w:r>
            <w:proofErr w:type="spellStart"/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Aufbewah</w:t>
            </w:r>
            <w:proofErr w:type="spellEnd"/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-</w:t>
            </w:r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br/>
            </w:r>
            <w:proofErr w:type="spellStart"/>
            <w:r w:rsidRPr="0017323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rungsfristen</w:t>
            </w:r>
            <w:proofErr w:type="spellEnd"/>
          </w:p>
        </w:tc>
      </w:tr>
      <w:tr w:rsidR="00173238" w:rsidRPr="00173238" w:rsidTr="00173238">
        <w:trPr>
          <w:trHeight w:val="308"/>
        </w:trPr>
        <w:tc>
          <w:tcPr>
            <w:tcW w:w="2122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Laufende Angelegenheiten</w:t>
            </w:r>
          </w:p>
        </w:tc>
        <w:tc>
          <w:tcPr>
            <w:tcW w:w="510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Personelle Maßnahmen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Entgeltangelegenheiten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Arbeitsschutzangelegenheiten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Berufsausbildung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Berufliche Weiterbildung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Angelegenheiten der betrieb­lichen Ordnung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Betriebsratsinterne Vorgänge, die nicht zu den grundsätzlichen Informationen gehören</w:t>
            </w:r>
          </w:p>
        </w:tc>
        <w:tc>
          <w:tcPr>
            <w:tcW w:w="269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  <w:tr w:rsidR="00173238" w:rsidRPr="00173238" w:rsidTr="00173238">
        <w:trPr>
          <w:trHeight w:val="308"/>
        </w:trPr>
        <w:tc>
          <w:tcPr>
            <w:tcW w:w="2122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Abgeschlossene Vorgänge</w:t>
            </w:r>
          </w:p>
        </w:tc>
        <w:tc>
          <w:tcPr>
            <w:tcW w:w="510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Personelle Einzelmaßnahmen, sortiert nach den einzelnen Vorgängen (Einstellungen, Versetzungen, Kündigungen)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Entgeltangelegenheiten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Arbeitsschutzangelegenheiten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Berufliche Weiterbildung</w:t>
            </w:r>
          </w:p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Angelegenheiten der beruflichen Ordnung</w:t>
            </w:r>
          </w:p>
        </w:tc>
        <w:tc>
          <w:tcPr>
            <w:tcW w:w="269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  <w:tr w:rsidR="00173238" w:rsidRPr="00173238" w:rsidTr="00173238">
        <w:trPr>
          <w:trHeight w:val="875"/>
        </w:trPr>
        <w:tc>
          <w:tcPr>
            <w:tcW w:w="2122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Geplante Vorhaben</w:t>
            </w:r>
          </w:p>
        </w:tc>
        <w:tc>
          <w:tcPr>
            <w:tcW w:w="510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ind w:left="283" w:hanging="283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•</w:t>
            </w: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ab/>
              <w:t>Angelegenheiten, die sich aus dem betrieblichen Vorschlags­wesen ergeben haben</w:t>
            </w:r>
          </w:p>
        </w:tc>
        <w:tc>
          <w:tcPr>
            <w:tcW w:w="2693" w:type="dxa"/>
          </w:tcPr>
          <w:p w:rsidR="00173238" w:rsidRPr="00173238" w:rsidRDefault="00173238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173238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…</w:t>
            </w:r>
          </w:p>
        </w:tc>
      </w:tr>
    </w:tbl>
    <w:p w:rsidR="00572DD9" w:rsidRPr="00173238" w:rsidRDefault="00572DD9" w:rsidP="00173238"/>
    <w:sectPr w:rsidR="00572DD9" w:rsidRPr="001732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A12" w:rsidRDefault="00D83A12" w:rsidP="00FD1777">
      <w:pPr>
        <w:spacing w:after="0" w:line="240" w:lineRule="auto"/>
      </w:pPr>
      <w:r>
        <w:separator/>
      </w:r>
    </w:p>
  </w:endnote>
  <w:endnote w:type="continuationSeparator" w:id="0">
    <w:p w:rsidR="00D83A12" w:rsidRDefault="00D83A12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A12" w:rsidRDefault="00D83A12" w:rsidP="00FD1777">
      <w:pPr>
        <w:spacing w:after="0" w:line="240" w:lineRule="auto"/>
      </w:pPr>
      <w:r>
        <w:separator/>
      </w:r>
    </w:p>
  </w:footnote>
  <w:footnote w:type="continuationSeparator" w:id="0">
    <w:p w:rsidR="00D83A12" w:rsidRDefault="00D83A12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173238"/>
    <w:rsid w:val="0032644E"/>
    <w:rsid w:val="00572DD9"/>
    <w:rsid w:val="005E645B"/>
    <w:rsid w:val="007C3C53"/>
    <w:rsid w:val="008133A6"/>
    <w:rsid w:val="009C3F35"/>
    <w:rsid w:val="00BD0042"/>
    <w:rsid w:val="00D83A1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B2506-55ED-4C5A-B8AA-E62A13BF7334}"/>
</file>

<file path=customXml/itemProps2.xml><?xml version="1.0" encoding="utf-8"?>
<ds:datastoreItem xmlns:ds="http://schemas.openxmlformats.org/officeDocument/2006/customXml" ds:itemID="{BF8533BE-17BD-4831-9EB0-511D5DBA1A99}"/>
</file>

<file path=customXml/itemProps3.xml><?xml version="1.0" encoding="utf-8"?>
<ds:datastoreItem xmlns:ds="http://schemas.openxmlformats.org/officeDocument/2006/customXml" ds:itemID="{BD8F46D6-DC1E-41D3-819D-E99419AF4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2026-05-17T12:34:00Z</dcterms:created>
  <dcterms:modified xsi:type="dcterms:W3CDTF">2026-05-17T12:34:00Z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