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DF1"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Muster-Betriebsvereinbarung: Prämienlohn</w:t>
      </w:r>
    </w:p>
    <w:p w14:paraId="038D7707" w14:textId="291E7AB6"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Zwischen dem Arbeitgeber … (Name des Unternehmens) und dem Betriebsrat der … (Name des Unternehmens) wird folgende Betriebsvereinbarung zur Prämienentlohnung geschlossen:</w:t>
      </w:r>
    </w:p>
    <w:p w14:paraId="651BFE2A"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1 Geltungsbereich</w:t>
      </w:r>
    </w:p>
    <w:p w14:paraId="7DF27B0E"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Vorliegende Betriebsvereinbarung gilt für den Standort … der … (Name des Unternehmens) und alle dort tätigen Arbeitnehmerinnen und Arbeitnehmer mit Ausnahme der leitenden Angestellten.</w:t>
      </w:r>
    </w:p>
    <w:p w14:paraId="5A67B435"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2 Grundsätze</w:t>
      </w:r>
    </w:p>
    <w:p w14:paraId="5779334A" w14:textId="381A46D2"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Für jede bediente Maschine wir eine Nutzungsprämie in Höhe von … (i.</w:t>
      </w:r>
      <w:r w:rsidR="00091905">
        <w:rPr>
          <w:rFonts w:cs="Open Sans"/>
          <w:color w:val="202020"/>
          <w:shd w:val="clear" w:color="auto" w:fill="FFFFFF"/>
        </w:rPr>
        <w:t xml:space="preserve"> </w:t>
      </w:r>
      <w:r>
        <w:rPr>
          <w:rFonts w:cs="Open Sans"/>
          <w:color w:val="202020"/>
          <w:shd w:val="clear" w:color="auto" w:fill="FFFFFF"/>
        </w:rPr>
        <w:t>d.</w:t>
      </w:r>
      <w:r w:rsidR="00091905">
        <w:rPr>
          <w:rFonts w:cs="Open Sans"/>
          <w:color w:val="202020"/>
          <w:shd w:val="clear" w:color="auto" w:fill="FFFFFF"/>
        </w:rPr>
        <w:t xml:space="preserve"> </w:t>
      </w:r>
      <w:r>
        <w:rPr>
          <w:rFonts w:cs="Open Sans"/>
          <w:color w:val="202020"/>
          <w:shd w:val="clear" w:color="auto" w:fill="FFFFFF"/>
        </w:rPr>
        <w:t>R. Centbetrag) je Stunde nach Maßgabe der Bestimmungen dieser Betriebsvereinbarung zusätzlich zum Prämiengrundlohn bezahlt.</w:t>
      </w:r>
    </w:p>
    <w:p w14:paraId="5FB17626"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Der Prämienlohn setzt sich wie folgt zusammen:</w:t>
      </w:r>
    </w:p>
    <w:p w14:paraId="360E6898"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Tariflohn bzw. Entgelt</w:t>
      </w:r>
    </w:p>
    <w:p w14:paraId="61CF726C"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Prämie für den Nutzungsgrad der Maschinen</w:t>
      </w:r>
    </w:p>
    <w:p w14:paraId="6E6585F4" w14:textId="398CD056" w:rsidR="00C87266" w:rsidRDefault="00091905" w:rsidP="00C87266">
      <w:pPr>
        <w:spacing w:after="100" w:afterAutospacing="1"/>
        <w:rPr>
          <w:rFonts w:cs="Open Sans"/>
          <w:color w:val="202020"/>
          <w:shd w:val="clear" w:color="auto" w:fill="FFFFFF"/>
        </w:rPr>
      </w:pPr>
      <w:r>
        <w:rPr>
          <w:rFonts w:cs="Open Sans"/>
          <w:color w:val="202020"/>
          <w:shd w:val="clear" w:color="auto" w:fill="FFFFFF"/>
        </w:rPr>
        <w:t>b</w:t>
      </w:r>
      <w:r w:rsidR="00C87266">
        <w:rPr>
          <w:rFonts w:cs="Open Sans"/>
          <w:color w:val="202020"/>
          <w:shd w:val="clear" w:color="auto" w:fill="FFFFFF"/>
        </w:rPr>
        <w:t>etriebliche (außertarifliche) Zulagen</w:t>
      </w:r>
    </w:p>
    <w:p w14:paraId="47D0D0FC"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3 Berechnungsgrundlagen</w:t>
      </w:r>
    </w:p>
    <w:p w14:paraId="30EE2A3D" w14:textId="6A213A7F"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Berechnungsgrundlagen für die Prämienleistungen sind</w:t>
      </w:r>
    </w:p>
    <w:p w14:paraId="3BD74612" w14:textId="5756FE7A" w:rsidR="00C87266" w:rsidRDefault="00091905" w:rsidP="00C87266">
      <w:pPr>
        <w:spacing w:after="100" w:afterAutospacing="1"/>
        <w:rPr>
          <w:rFonts w:cs="Open Sans"/>
          <w:color w:val="202020"/>
          <w:shd w:val="clear" w:color="auto" w:fill="FFFFFF"/>
        </w:rPr>
      </w:pPr>
      <w:r>
        <w:rPr>
          <w:rFonts w:cs="Open Sans"/>
          <w:color w:val="202020"/>
          <w:shd w:val="clear" w:color="auto" w:fill="FFFFFF"/>
        </w:rPr>
        <w:t>d</w:t>
      </w:r>
      <w:r w:rsidR="00C87266">
        <w:rPr>
          <w:rFonts w:cs="Open Sans"/>
          <w:color w:val="202020"/>
          <w:shd w:val="clear" w:color="auto" w:fill="FFFFFF"/>
        </w:rPr>
        <w:t>ie vom Zähler des Nutzungsschreibers abgelesene Summe der Hauptnutzungszeiten der Maschinen während der Dauer der Bedienung durch einen Beschäftigten.</w:t>
      </w:r>
    </w:p>
    <w:p w14:paraId="4CA7E732" w14:textId="64D70C54" w:rsidR="00C87266" w:rsidRDefault="00091905" w:rsidP="00C87266">
      <w:pPr>
        <w:spacing w:after="100" w:afterAutospacing="1"/>
        <w:rPr>
          <w:rFonts w:cs="Open Sans"/>
          <w:color w:val="202020"/>
          <w:shd w:val="clear" w:color="auto" w:fill="FFFFFF"/>
        </w:rPr>
      </w:pPr>
      <w:r>
        <w:rPr>
          <w:rFonts w:cs="Open Sans"/>
          <w:color w:val="202020"/>
          <w:shd w:val="clear" w:color="auto" w:fill="FFFFFF"/>
        </w:rPr>
        <w:t>d</w:t>
      </w:r>
      <w:r w:rsidR="00C87266">
        <w:rPr>
          <w:rFonts w:cs="Open Sans"/>
          <w:color w:val="202020"/>
          <w:shd w:val="clear" w:color="auto" w:fill="FFFFFF"/>
        </w:rPr>
        <w:t>ie Einsatzzeit des jeweiligen Beschäftigten/der Beschäftigten an der Maschine einschließlich der Rüstzeit.</w:t>
      </w:r>
    </w:p>
    <w:p w14:paraId="605D4E04" w14:textId="238378FE"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 xml:space="preserve">der Abrechnungszeitraum (16. </w:t>
      </w:r>
      <w:r w:rsidR="00091905">
        <w:rPr>
          <w:rFonts w:cs="Open Sans"/>
          <w:color w:val="202020"/>
          <w:shd w:val="clear" w:color="auto" w:fill="FFFFFF"/>
        </w:rPr>
        <w:t>d</w:t>
      </w:r>
      <w:r>
        <w:rPr>
          <w:rFonts w:cs="Open Sans"/>
          <w:color w:val="202020"/>
          <w:shd w:val="clear" w:color="auto" w:fill="FFFFFF"/>
        </w:rPr>
        <w:t>es Vormonats bis 15. des laufenden Monats).</w:t>
      </w:r>
    </w:p>
    <w:p w14:paraId="7686DC05" w14:textId="3772F0F4"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Prämie errechnet sich für jede Maschine und jeden Beschäftigten. Sie beginnt bei einer Prämiengrundleistung von 70</w:t>
      </w:r>
      <w:r w:rsidR="00091905">
        <w:rPr>
          <w:rFonts w:cs="Open Sans"/>
          <w:color w:val="202020"/>
          <w:shd w:val="clear" w:color="auto" w:fill="FFFFFF"/>
        </w:rPr>
        <w:t xml:space="preserve"> </w:t>
      </w:r>
      <w:r>
        <w:rPr>
          <w:rFonts w:cs="Open Sans"/>
          <w:color w:val="202020"/>
          <w:shd w:val="clear" w:color="auto" w:fill="FFFFFF"/>
        </w:rPr>
        <w:t>%. Die Höchstprämie ist erreicht bei einem Nutzungsgrad von 100</w:t>
      </w:r>
      <w:r w:rsidR="00091905">
        <w:rPr>
          <w:rFonts w:cs="Open Sans"/>
          <w:color w:val="202020"/>
          <w:shd w:val="clear" w:color="auto" w:fill="FFFFFF"/>
        </w:rPr>
        <w:t xml:space="preserve"> </w:t>
      </w:r>
      <w:r>
        <w:rPr>
          <w:rFonts w:cs="Open Sans"/>
          <w:color w:val="202020"/>
          <w:shd w:val="clear" w:color="auto" w:fill="FFFFFF"/>
        </w:rPr>
        <w:t>%. Hauptnutzungsgrad für Halbautomaten ist …</w:t>
      </w:r>
      <w:r w:rsidR="00091905">
        <w:rPr>
          <w:rFonts w:cs="Open Sans"/>
          <w:color w:val="202020"/>
          <w:shd w:val="clear" w:color="auto" w:fill="FFFFFF"/>
        </w:rPr>
        <w:t xml:space="preserve"> </w:t>
      </w:r>
      <w:r>
        <w:rPr>
          <w:rFonts w:cs="Open Sans"/>
          <w:color w:val="202020"/>
          <w:shd w:val="clear" w:color="auto" w:fill="FFFFFF"/>
        </w:rPr>
        <w:t>%</w:t>
      </w:r>
      <w:r w:rsidR="00091905">
        <w:rPr>
          <w:rFonts w:cs="Open Sans"/>
          <w:color w:val="202020"/>
          <w:shd w:val="clear" w:color="auto" w:fill="FFFFFF"/>
        </w:rPr>
        <w:t>,</w:t>
      </w:r>
      <w:r>
        <w:rPr>
          <w:rFonts w:cs="Open Sans"/>
          <w:color w:val="202020"/>
          <w:shd w:val="clear" w:color="auto" w:fill="FFFFFF"/>
        </w:rPr>
        <w:t xml:space="preserve"> Hauptnutzungsgrad für Vollautomaten ist</w:t>
      </w:r>
      <w:r w:rsidR="00091905">
        <w:rPr>
          <w:rFonts w:cs="Open Sans"/>
          <w:color w:val="202020"/>
          <w:shd w:val="clear" w:color="auto" w:fill="FFFFFF"/>
        </w:rPr>
        <w:t xml:space="preserve"> </w:t>
      </w:r>
      <w:r>
        <w:rPr>
          <w:rFonts w:cs="Open Sans"/>
          <w:color w:val="202020"/>
          <w:shd w:val="clear" w:color="auto" w:fill="FFFFFF"/>
        </w:rPr>
        <w:t>…</w:t>
      </w:r>
      <w:r w:rsidR="00091905">
        <w:rPr>
          <w:rFonts w:cs="Open Sans"/>
          <w:color w:val="202020"/>
          <w:shd w:val="clear" w:color="auto" w:fill="FFFFFF"/>
        </w:rPr>
        <w:t xml:space="preserve"> </w:t>
      </w:r>
      <w:r>
        <w:rPr>
          <w:rFonts w:cs="Open Sans"/>
          <w:color w:val="202020"/>
          <w:shd w:val="clear" w:color="auto" w:fill="FFFFFF"/>
        </w:rPr>
        <w:t>%</w:t>
      </w:r>
      <w:r w:rsidR="00091905">
        <w:rPr>
          <w:rFonts w:cs="Open Sans"/>
          <w:color w:val="202020"/>
          <w:shd w:val="clear" w:color="auto" w:fill="FFFFFF"/>
        </w:rPr>
        <w:t>.</w:t>
      </w:r>
    </w:p>
    <w:p w14:paraId="2EB3B396"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Veränderung der Prämienbeiträge in Euro-Cent je Stunde zur jeweiligen Leistung ist aus der als Anlage … beigefügten Prämientabelle ersichtlich.</w:t>
      </w:r>
    </w:p>
    <w:p w14:paraId="3EFD606D"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4 Bezugsberechtigung</w:t>
      </w:r>
    </w:p>
    <w:p w14:paraId="196914C2"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lastRenderedPageBreak/>
        <w:t xml:space="preserve">Prämienbezugsberechtigt sind alle Beschäftigten für die Dauer der Beschäftigung an Halb- und Vollautomaten. </w:t>
      </w:r>
    </w:p>
    <w:p w14:paraId="6F4E242D"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Für die Zeiten außerhalb der Beschäftigung an diesen Maschinen erhalten die Beschäftigten einen Durchschnittsverdienst. Dieser errechnet sich aus der Bruttovergütung der letzten 3 vollen Kalendermonate.</w:t>
      </w:r>
    </w:p>
    <w:p w14:paraId="23CEBA0D"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Einmalzahlungen wie zusätzliches Urlaubs- oder Weihnachtsgeld sind insoweit nicht zu berücksichtigen.</w:t>
      </w:r>
    </w:p>
    <w:p w14:paraId="4CC4472F"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5 Neueinstellungen</w:t>
      </w:r>
    </w:p>
    <w:p w14:paraId="20EBB456"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Neu eingestellte Arbeitnehmerinnen und Arbeitnehmer erhalten für die Dauer der Einarbeitungszeit, das ist mindestens die 6-monatige Probezeit plus in der Regel 2 weitere Monate, den bei der Einstellung vereinbarten Lohn.</w:t>
      </w:r>
    </w:p>
    <w:p w14:paraId="0D720E0E"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Der Arbeitgeber bzw. die Arbeitgeberin kann auf Vorschlag des Werksleiters bzw. der Werksleiterin die Einarbeitungszeit auch zu einem früheren Zeitpunkt für beendet erklären und dadurch die Prämienberechtigung vermitteln.</w:t>
      </w:r>
    </w:p>
    <w:p w14:paraId="6B91D526"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Beschäftigte, die aufgrund von einer betrieblichen Versetzung oder Umsetzung einen Arbeitsplatz an einem Halbautomaten oder Vollautomaten einnehmen, erhalten ihren Durchschnittsverdienst von vor der Umsetzung an die Maschine. Zudem wird ihre Einarbeitungszeit auf maximal 2 Monate begrenzt. Danach erhalten sie die Prämien entsprechend dieser Betriebsvereinbarung.</w:t>
      </w:r>
    </w:p>
    <w:p w14:paraId="54AAF722"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xml:space="preserve">§ 6 Prämienkommission </w:t>
      </w:r>
    </w:p>
    <w:p w14:paraId="3DD7B595"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 xml:space="preserve">Die Änderung oder Neufestsetzung eines Sachverhalts wird von einer Prämienkommission vorgenommen. Antragsberechtigt sind der betroffene Arbeitnehmer bzw. die Arbeitnehmerin, der Betriebsrat und der Arbeitgeber. </w:t>
      </w:r>
    </w:p>
    <w:p w14:paraId="175DF3FE"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Prämienkommission setzt sich aus je 2 Vertretern des Arbeitgebers/der Arbeitgeberin und des Betriebsrats zusammen.</w:t>
      </w:r>
    </w:p>
    <w:p w14:paraId="0A66091B"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Prämienkommission entscheidet mit einfacher Mehrheit bei Meinungsverschiedenheiten in Bezug auf</w:t>
      </w:r>
    </w:p>
    <w:p w14:paraId="0777FC45" w14:textId="73ED5185"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 xml:space="preserve">Beanstandung von Beschäftigten über Prämienerrechnung und </w:t>
      </w:r>
      <w:r w:rsidR="00091905">
        <w:rPr>
          <w:rFonts w:cs="Open Sans"/>
          <w:color w:val="202020"/>
          <w:shd w:val="clear" w:color="auto" w:fill="FFFFFF"/>
        </w:rPr>
        <w:t>-</w:t>
      </w:r>
      <w:r>
        <w:rPr>
          <w:rFonts w:cs="Open Sans"/>
          <w:color w:val="202020"/>
          <w:shd w:val="clear" w:color="auto" w:fill="FFFFFF"/>
        </w:rPr>
        <w:t>abrechnung.</w:t>
      </w:r>
    </w:p>
    <w:p w14:paraId="2115A408"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Auslegung der Prämientabelle, die Bestandteil dieser Betriebsvereinbarung ist.</w:t>
      </w:r>
    </w:p>
    <w:p w14:paraId="56428CE3"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Kommt eine Einigung nicht zustande, sind alle Beteiligten berechtigt, entweder die betriebliche Einigungsstelle oder das Arbeitsgericht einzuschalten.</w:t>
      </w:r>
    </w:p>
    <w:p w14:paraId="5223D354"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7 Salvatorische Klausel</w:t>
      </w:r>
    </w:p>
    <w:p w14:paraId="436F28D0" w14:textId="01E61691"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Sind einzelne Bestimmung</w:t>
      </w:r>
      <w:r w:rsidR="00091905">
        <w:rPr>
          <w:rFonts w:cs="Open Sans"/>
          <w:color w:val="202020"/>
          <w:shd w:val="clear" w:color="auto" w:fill="FFFFFF"/>
        </w:rPr>
        <w:t>en</w:t>
      </w:r>
      <w:r>
        <w:rPr>
          <w:rFonts w:cs="Open Sans"/>
          <w:color w:val="202020"/>
          <w:shd w:val="clear" w:color="auto" w:fill="FFFFFF"/>
        </w:rPr>
        <w:t xml:space="preserve"> dieser Betriebsvereinbarung unwirksam, so berührt dies nicht die Wirksamkeit der übrigen Bestimmungen.</w:t>
      </w:r>
    </w:p>
    <w:p w14:paraId="1A7D919A" w14:textId="2AA08EE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lastRenderedPageBreak/>
        <w:t>Im Fall der Unwirksamkeit einer oder mehrerer Bestimmungen werden die Parteien unmittelbar Verhandlungen aufnehmen, um eine der unwirksamen Regelung möglichst nahekommende Ersatzregelung zu treffen.</w:t>
      </w:r>
    </w:p>
    <w:p w14:paraId="5E4772D9" w14:textId="77777777" w:rsidR="00C87266" w:rsidRPr="00E47F61" w:rsidRDefault="00C87266" w:rsidP="00C87266">
      <w:pPr>
        <w:spacing w:after="100" w:afterAutospacing="1"/>
        <w:rPr>
          <w:rFonts w:cs="Open Sans"/>
          <w:b/>
          <w:bCs/>
          <w:color w:val="202020"/>
          <w:shd w:val="clear" w:color="auto" w:fill="FFFFFF"/>
        </w:rPr>
      </w:pPr>
      <w:r w:rsidRPr="00E47F61">
        <w:rPr>
          <w:rFonts w:cs="Open Sans"/>
          <w:b/>
          <w:bCs/>
          <w:color w:val="202020"/>
          <w:shd w:val="clear" w:color="auto" w:fill="FFFFFF"/>
        </w:rPr>
        <w:t>§ 8 Inkrafttreten</w:t>
      </w:r>
    </w:p>
    <w:p w14:paraId="760DC79E"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 xml:space="preserve">Die Betriebsvereinbarung tritt mit ihrer beiderseitigen Unterzeichnung in Kraft. </w:t>
      </w:r>
    </w:p>
    <w:p w14:paraId="09B001F8" w14:textId="37BC04AA"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Prämienregelung und die Prämientabelle gelten jeweils für die Laufzeit des geltenden Entgelt-Tarifvertrags bzw.</w:t>
      </w:r>
      <w:r w:rsidR="00091905">
        <w:rPr>
          <w:rFonts w:cs="Open Sans"/>
          <w:color w:val="202020"/>
          <w:shd w:val="clear" w:color="auto" w:fill="FFFFFF"/>
        </w:rPr>
        <w:t>,</w:t>
      </w:r>
      <w:r>
        <w:rPr>
          <w:rFonts w:cs="Open Sans"/>
          <w:color w:val="202020"/>
          <w:shd w:val="clear" w:color="auto" w:fill="FFFFFF"/>
        </w:rPr>
        <w:t xml:space="preserve"> falls ein solcher nicht anwendbar </w:t>
      </w:r>
      <w:r w:rsidR="00091905">
        <w:rPr>
          <w:rFonts w:cs="Open Sans"/>
          <w:color w:val="202020"/>
          <w:shd w:val="clear" w:color="auto" w:fill="FFFFFF"/>
        </w:rPr>
        <w:t xml:space="preserve">ist, </w:t>
      </w:r>
      <w:r>
        <w:rPr>
          <w:rFonts w:cs="Open Sans"/>
          <w:color w:val="202020"/>
          <w:shd w:val="clear" w:color="auto" w:fill="FFFFFF"/>
        </w:rPr>
        <w:t xml:space="preserve">für die Dauer von 2 Jahren. </w:t>
      </w:r>
    </w:p>
    <w:p w14:paraId="40484D74" w14:textId="430BAFB2"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Die Regelung kann jedoch im Zweifelsfall mit einer Frist von 3 Monaten, erstmals allerdings am …</w:t>
      </w:r>
      <w:r w:rsidR="00091905">
        <w:rPr>
          <w:rFonts w:cs="Open Sans"/>
          <w:color w:val="202020"/>
          <w:shd w:val="clear" w:color="auto" w:fill="FFFFFF"/>
        </w:rPr>
        <w:t>,</w:t>
      </w:r>
      <w:r>
        <w:rPr>
          <w:rFonts w:cs="Open Sans"/>
          <w:color w:val="202020"/>
          <w:shd w:val="clear" w:color="auto" w:fill="FFFFFF"/>
        </w:rPr>
        <w:t xml:space="preserve"> gekündigt werden.</w:t>
      </w:r>
    </w:p>
    <w:p w14:paraId="30D0241F"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In diesem Fall wirkt die Vereinbarung bis zum Abschluss einer neuen Betriebsvereinbarung zu diesem Thema nach. Die Kündigung bedarf zu ihrer Wirksamkeit der Schriftform.</w:t>
      </w:r>
    </w:p>
    <w:p w14:paraId="3C068FF4" w14:textId="77777777" w:rsidR="00C87266" w:rsidRDefault="00C87266" w:rsidP="00C87266">
      <w:pPr>
        <w:spacing w:after="100" w:afterAutospacing="1"/>
        <w:rPr>
          <w:rFonts w:cs="Open Sans"/>
          <w:color w:val="202020"/>
          <w:shd w:val="clear" w:color="auto" w:fill="FFFFFF"/>
        </w:rPr>
      </w:pPr>
    </w:p>
    <w:p w14:paraId="62CD638C" w14:textId="77777777" w:rsidR="00C87266" w:rsidRDefault="00C87266" w:rsidP="00C87266">
      <w:pPr>
        <w:spacing w:after="100" w:afterAutospacing="1"/>
        <w:rPr>
          <w:rFonts w:cs="Open Sans"/>
          <w:color w:val="202020"/>
          <w:shd w:val="clear" w:color="auto" w:fill="FFFFFF"/>
        </w:rPr>
      </w:pPr>
      <w:r>
        <w:rPr>
          <w:rFonts w:cs="Open Sans"/>
          <w:color w:val="202020"/>
          <w:shd w:val="clear" w:color="auto" w:fill="FFFFFF"/>
        </w:rPr>
        <w:t>Ort, Datum, Unterschrift</w:t>
      </w:r>
    </w:p>
    <w:p w14:paraId="3F26519B"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66"/>
    <w:rsid w:val="00091905"/>
    <w:rsid w:val="00153551"/>
    <w:rsid w:val="00575E13"/>
    <w:rsid w:val="00664AAB"/>
    <w:rsid w:val="0088286D"/>
    <w:rsid w:val="008A5C35"/>
    <w:rsid w:val="0094513C"/>
    <w:rsid w:val="00B13720"/>
    <w:rsid w:val="00C87266"/>
    <w:rsid w:val="00CD7C7C"/>
    <w:rsid w:val="00EA4C1B"/>
    <w:rsid w:val="00F604F7"/>
    <w:rsid w:val="00FC47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6BAF"/>
  <w15:chartTrackingRefBased/>
  <w15:docId w15:val="{5D2FB76D-40C3-574F-A6C1-C9EF0B48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266"/>
  </w:style>
  <w:style w:type="paragraph" w:styleId="berschrift1">
    <w:name w:val="heading 1"/>
    <w:basedOn w:val="Standard"/>
    <w:next w:val="Standard"/>
    <w:link w:val="berschrift1Zchn"/>
    <w:uiPriority w:val="9"/>
    <w:qFormat/>
    <w:rsid w:val="00C87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87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8726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8726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8726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8726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8726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8726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8726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8726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8726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8726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8726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8726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872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872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872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87266"/>
    <w:rPr>
      <w:rFonts w:eastAsiaTheme="majorEastAsia" w:cstheme="majorBidi"/>
      <w:color w:val="272727" w:themeColor="text1" w:themeTint="D8"/>
    </w:rPr>
  </w:style>
  <w:style w:type="paragraph" w:styleId="Titel">
    <w:name w:val="Title"/>
    <w:basedOn w:val="Standard"/>
    <w:next w:val="Standard"/>
    <w:link w:val="TitelZchn"/>
    <w:uiPriority w:val="10"/>
    <w:qFormat/>
    <w:rsid w:val="00C8726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872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8726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872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8726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87266"/>
    <w:rPr>
      <w:i/>
      <w:iCs/>
      <w:color w:val="404040" w:themeColor="text1" w:themeTint="BF"/>
    </w:rPr>
  </w:style>
  <w:style w:type="paragraph" w:styleId="Listenabsatz">
    <w:name w:val="List Paragraph"/>
    <w:basedOn w:val="Standard"/>
    <w:uiPriority w:val="34"/>
    <w:qFormat/>
    <w:rsid w:val="00C87266"/>
    <w:pPr>
      <w:ind w:left="720"/>
      <w:contextualSpacing/>
    </w:pPr>
  </w:style>
  <w:style w:type="character" w:styleId="IntensiveHervorhebung">
    <w:name w:val="Intense Emphasis"/>
    <w:basedOn w:val="Absatz-Standardschriftart"/>
    <w:uiPriority w:val="21"/>
    <w:qFormat/>
    <w:rsid w:val="00C87266"/>
    <w:rPr>
      <w:i/>
      <w:iCs/>
      <w:color w:val="0F4761" w:themeColor="accent1" w:themeShade="BF"/>
    </w:rPr>
  </w:style>
  <w:style w:type="paragraph" w:styleId="IntensivesZitat">
    <w:name w:val="Intense Quote"/>
    <w:basedOn w:val="Standard"/>
    <w:next w:val="Standard"/>
    <w:link w:val="IntensivesZitatZchn"/>
    <w:uiPriority w:val="30"/>
    <w:qFormat/>
    <w:rsid w:val="00C87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87266"/>
    <w:rPr>
      <w:i/>
      <w:iCs/>
      <w:color w:val="0F4761" w:themeColor="accent1" w:themeShade="BF"/>
    </w:rPr>
  </w:style>
  <w:style w:type="character" w:styleId="IntensiverVerweis">
    <w:name w:val="Intense Reference"/>
    <w:basedOn w:val="Absatz-Standardschriftart"/>
    <w:uiPriority w:val="32"/>
    <w:qFormat/>
    <w:rsid w:val="00C872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3965</Characters>
  <Application>Microsoft Office Word</Application>
  <DocSecurity>0</DocSecurity>
  <Lines>33</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2026-07-20T11:22:00Z</dcterms:created>
  <dcterms:modified xsi:type="dcterms:W3CDTF">2026-07-20T11:22:00Z</dcterms:modified>
</cp:coreProperties>
</file>