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6F549" w14:textId="2A5F6DA2" w:rsidR="00EA4C1B" w:rsidRDefault="00060B14">
      <w:r>
        <w:t>MS-BV: EntgeltentwiBR</w:t>
      </w:r>
    </w:p>
    <w:p w14:paraId="043CDED3" w14:textId="77777777" w:rsidR="00060B14" w:rsidRDefault="00060B14"/>
    <w:p w14:paraId="121B0649" w14:textId="77777777" w:rsidR="00060B14" w:rsidRPr="006B1EA5" w:rsidRDefault="00060B14" w:rsidP="00060B14">
      <w:pPr>
        <w:textAlignment w:val="baseline"/>
        <w:rPr>
          <w:rFonts w:eastAsia="Times New Roman" w:cs="Times New Roman"/>
          <w:b/>
          <w:bCs/>
          <w:kern w:val="0"/>
          <w:lang w:eastAsia="de-DE"/>
          <w14:ligatures w14:val="none"/>
        </w:rPr>
      </w:pPr>
      <w:r w:rsidRPr="006B1EA5">
        <w:rPr>
          <w:rFonts w:eastAsia="Times New Roman" w:cs="Times New Roman"/>
          <w:b/>
          <w:bCs/>
          <w:kern w:val="0"/>
          <w:lang w:eastAsia="de-DE"/>
          <w14:ligatures w14:val="none"/>
        </w:rPr>
        <w:t>Muster-Betriebsvereinbarung: Entgeltentwicklung freigestellter Betriebsräte</w:t>
      </w:r>
    </w:p>
    <w:p w14:paraId="31CCC8DB" w14:textId="77777777" w:rsidR="00060B14" w:rsidRPr="006B1EA5" w:rsidRDefault="00060B14" w:rsidP="00060B14">
      <w:pPr>
        <w:textAlignment w:val="baseline"/>
        <w:rPr>
          <w:rFonts w:eastAsia="Times New Roman" w:cs="Times New Roman"/>
          <w:b/>
          <w:bCs/>
          <w:kern w:val="0"/>
          <w:lang w:eastAsia="de-DE"/>
          <w14:ligatures w14:val="none"/>
        </w:rPr>
      </w:pPr>
    </w:p>
    <w:p w14:paraId="18424517"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Zwischen der … (Name des Unternehmens) und dem Gesamtbetriebsrat der … (Name des Unternehmens) wird auf Grundlage von § 37 Abs. 4 in Verbindung mit § 38 Abs. 3 BetrVG folgende Betriebsvereinbarung zur Entgeltentwicklung von freigestellten Betriebsratsmitgliedern abgeschlossen.</w:t>
      </w:r>
    </w:p>
    <w:p w14:paraId="41613A6E" w14:textId="77777777" w:rsidR="00060B14" w:rsidRDefault="00060B14" w:rsidP="00060B14">
      <w:pPr>
        <w:textAlignment w:val="baseline"/>
        <w:rPr>
          <w:rFonts w:eastAsia="Times New Roman" w:cs="Times New Roman"/>
          <w:kern w:val="0"/>
          <w:lang w:eastAsia="de-DE"/>
          <w14:ligatures w14:val="none"/>
        </w:rPr>
      </w:pPr>
    </w:p>
    <w:p w14:paraId="4A0B54D8" w14:textId="77777777" w:rsidR="00060B14" w:rsidRPr="006B1EA5" w:rsidRDefault="00060B14" w:rsidP="00060B14">
      <w:pPr>
        <w:textAlignment w:val="baseline"/>
        <w:rPr>
          <w:rFonts w:eastAsia="Times New Roman" w:cs="Times New Roman"/>
          <w:b/>
          <w:bCs/>
          <w:kern w:val="0"/>
          <w:lang w:eastAsia="de-DE"/>
          <w14:ligatures w14:val="none"/>
        </w:rPr>
      </w:pPr>
      <w:r w:rsidRPr="006B1EA5">
        <w:rPr>
          <w:rFonts w:eastAsia="Times New Roman" w:cs="Times New Roman"/>
          <w:b/>
          <w:bCs/>
          <w:kern w:val="0"/>
          <w:lang w:eastAsia="de-DE"/>
          <w14:ligatures w14:val="none"/>
        </w:rPr>
        <w:t>§ 1 Geltungsbereich</w:t>
      </w:r>
    </w:p>
    <w:p w14:paraId="2FC2B5DE"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Die Betriebsvereinbarung gilt für alle im Betrieb beschäftigten voll von der regulären Arbeit freigestellten Betriebsrätinnen und Betriebsräte, des Gesamtbetriebsrats und der Jugend- und Auszubildendenvertretung.</w:t>
      </w:r>
    </w:p>
    <w:p w14:paraId="5BC7BF7E" w14:textId="77777777" w:rsidR="00060B14" w:rsidRDefault="00060B14" w:rsidP="00060B14">
      <w:pPr>
        <w:textAlignment w:val="baseline"/>
        <w:rPr>
          <w:rFonts w:eastAsia="Times New Roman" w:cs="Times New Roman"/>
          <w:kern w:val="0"/>
          <w:lang w:eastAsia="de-DE"/>
          <w14:ligatures w14:val="none"/>
        </w:rPr>
      </w:pPr>
    </w:p>
    <w:p w14:paraId="190A274F" w14:textId="77777777" w:rsidR="00060B14" w:rsidRPr="006B1EA5" w:rsidRDefault="00060B14" w:rsidP="00060B14">
      <w:pPr>
        <w:textAlignment w:val="baseline"/>
        <w:rPr>
          <w:rFonts w:eastAsia="Times New Roman" w:cs="Times New Roman"/>
          <w:b/>
          <w:bCs/>
          <w:kern w:val="0"/>
          <w:lang w:eastAsia="de-DE"/>
          <w14:ligatures w14:val="none"/>
        </w:rPr>
      </w:pPr>
      <w:r w:rsidRPr="006B1EA5">
        <w:rPr>
          <w:rFonts w:eastAsia="Times New Roman" w:cs="Times New Roman"/>
          <w:b/>
          <w:bCs/>
          <w:kern w:val="0"/>
          <w:lang w:eastAsia="de-DE"/>
          <w14:ligatures w14:val="none"/>
        </w:rPr>
        <w:t>§ 2 Grundlagen der Vergütung</w:t>
      </w:r>
    </w:p>
    <w:p w14:paraId="3592AFB5"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Die voll von der regulären Tätigkeit freigestellten Betriebsratsmitglieder erhalten Lohn/Vergütung/Bezüge nach Maßgabe des § 37 Abs. 4 in Verbindung mit § 38 Abs. 3 BetrVG.</w:t>
      </w:r>
    </w:p>
    <w:p w14:paraId="576B7A76"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Die tarifvertraglichen Regelungen für die Eingruppierung bzw. Einstufung gelten unverändert auch für die Dauer der Freistellung.</w:t>
      </w:r>
    </w:p>
    <w:p w14:paraId="5145D430"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 xml:space="preserve">Zu Beginn der Freistellung erhält das Betriebsratsmitglied die zuletzt gezahlte Vergütung weiter. Sie ist Ausgangspunkt für die Weiterentwicklung. </w:t>
      </w:r>
    </w:p>
    <w:p w14:paraId="7EEA0EAC"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Hierbei sind die gesetzlichen Vorgaben wie:</w:t>
      </w:r>
    </w:p>
    <w:p w14:paraId="7441E97F"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die Betriebsüblichkeit</w:t>
      </w:r>
    </w:p>
    <w:p w14:paraId="1FA7A77F"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das Bevorzugungs- bzw. Benachteiligungsverbot</w:t>
      </w:r>
    </w:p>
    <w:p w14:paraId="7DD17E70"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stets zu berücksichtigen und entfalten im Zweifel ihre Wirkung.</w:t>
      </w:r>
    </w:p>
    <w:p w14:paraId="68EC7D94"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Die betriebsübliche berufliche Entwicklung des freigestellten Betriebsratsmitglieds soll durch Festlegung der Vergleichspersonen und deren Vergütungsentwicklung gewährleistet werden.</w:t>
      </w:r>
    </w:p>
    <w:p w14:paraId="539A9060" w14:textId="77777777" w:rsidR="00060B14" w:rsidRDefault="00060B14" w:rsidP="00060B14">
      <w:pPr>
        <w:textAlignment w:val="baseline"/>
        <w:rPr>
          <w:rFonts w:eastAsia="Times New Roman" w:cs="Times New Roman"/>
          <w:kern w:val="0"/>
          <w:lang w:eastAsia="de-DE"/>
          <w14:ligatures w14:val="none"/>
        </w:rPr>
      </w:pPr>
    </w:p>
    <w:p w14:paraId="6BA18525" w14:textId="77777777" w:rsidR="00060B14" w:rsidRPr="006B1EA5" w:rsidRDefault="00060B14" w:rsidP="00060B14">
      <w:pPr>
        <w:textAlignment w:val="baseline"/>
        <w:rPr>
          <w:rFonts w:eastAsia="Times New Roman" w:cs="Times New Roman"/>
          <w:b/>
          <w:bCs/>
          <w:kern w:val="0"/>
          <w:lang w:eastAsia="de-DE"/>
          <w14:ligatures w14:val="none"/>
        </w:rPr>
      </w:pPr>
      <w:r w:rsidRPr="006B1EA5">
        <w:rPr>
          <w:rFonts w:eastAsia="Times New Roman" w:cs="Times New Roman"/>
          <w:b/>
          <w:bCs/>
          <w:kern w:val="0"/>
          <w:lang w:eastAsia="de-DE"/>
          <w14:ligatures w14:val="none"/>
        </w:rPr>
        <w:t>§ 3 Benennung der Vergleichspersonen</w:t>
      </w:r>
    </w:p>
    <w:p w14:paraId="2E7DC737"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Bei Beginn der Freistellung eines Betriebsratsmitglieds werden grundsätzlich 3 Vergleichspersonen; - sofern möglich aus demselben Einsatzbereich -; festgelegt. Deren Gesamtjahresvergütung, als einschließlich Leistungszulagen, Prämien, Provisionen etc. dient als Maßstab für das weiterzuzahlende Gehalt und die Entwicklung; auch hinsichtlich Persönlichkeit, Qualifikation und Leistung müssen diese Vergleichspersonen vergleichbar sein.</w:t>
      </w:r>
    </w:p>
    <w:p w14:paraId="2A505CAD"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Soweit im Betrieb keine geeigneten Vergleichspersonen zur Verfügung stehen, können auch Arbeitnehmer anderer Betriebe als Vergleichspersonen benannt werden.</w:t>
      </w:r>
    </w:p>
    <w:p w14:paraId="68002E90"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Sollten sich gar keine Vergleichspersonen ermitteln lassen, sind die Gründe dafür zu dokumentieren und eine fiktive Gehaltsentwicklung vorzuzeichnen.</w:t>
      </w:r>
    </w:p>
    <w:p w14:paraId="6A0742B8"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Entscheidender Zeitpunkt für die Ermittlung der Vergleichspersonen ist der Zeitpunkt der erstmaligen Wahl in den Betriebsrat.</w:t>
      </w:r>
    </w:p>
    <w:p w14:paraId="33978913"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Die Festlegung der Vergleichspersonen erfolgt in Übereinstimmung zwischen Geschäftsleitung, örtlichem Betriebsrat und dem betroffenen Betriebsratsmitglied.</w:t>
      </w:r>
    </w:p>
    <w:p w14:paraId="57727DE2"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Das Ergebnis der Übereinstimmung ist schriftlich niederzulegen und zur Personalakte zu nehmen; das betroffene Betriebsratsmitglied erhält eine Kopie.</w:t>
      </w:r>
    </w:p>
    <w:p w14:paraId="5E543B17"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lastRenderedPageBreak/>
        <w:t>Sollten einzelne oder alle Vergleichspersonen wegfallen; z.B. wegen einer langfristigen krankheitsbedingten Arbeitsunfähigkeit, Eintritts der Rente, Kündigung oder auch Tod bzw. sollte die Vergleichbarkeit aus anderen Gründen entfallen, z.B. wegen eines beruflichen Umstiegs, sind auf Antrag eines der Beteiligten neue Vergleichspersonen zu suchen und ggf. festzulegen.</w:t>
      </w:r>
    </w:p>
    <w:p w14:paraId="606BC216"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Die Voraussetzungen der Vergleichbarkeit sind fortlaufend zu prüfen.</w:t>
      </w:r>
    </w:p>
    <w:p w14:paraId="2101B2F1" w14:textId="77777777" w:rsidR="00060B14" w:rsidRDefault="00060B14" w:rsidP="00060B14">
      <w:pPr>
        <w:textAlignment w:val="baseline"/>
        <w:rPr>
          <w:rFonts w:eastAsia="Times New Roman" w:cs="Times New Roman"/>
          <w:kern w:val="0"/>
          <w:lang w:eastAsia="de-DE"/>
          <w14:ligatures w14:val="none"/>
        </w:rPr>
      </w:pPr>
    </w:p>
    <w:p w14:paraId="593A7F12" w14:textId="77777777" w:rsidR="00060B14" w:rsidRPr="006B1EA5" w:rsidRDefault="00060B14" w:rsidP="00060B14">
      <w:pPr>
        <w:textAlignment w:val="baseline"/>
        <w:rPr>
          <w:rFonts w:eastAsia="Times New Roman" w:cs="Times New Roman"/>
          <w:b/>
          <w:bCs/>
          <w:kern w:val="0"/>
          <w:lang w:eastAsia="de-DE"/>
          <w14:ligatures w14:val="none"/>
        </w:rPr>
      </w:pPr>
      <w:r w:rsidRPr="006B1EA5">
        <w:rPr>
          <w:rFonts w:eastAsia="Times New Roman" w:cs="Times New Roman"/>
          <w:b/>
          <w:bCs/>
          <w:kern w:val="0"/>
          <w:lang w:eastAsia="de-DE"/>
          <w14:ligatures w14:val="none"/>
        </w:rPr>
        <w:t>§ 4 Weiterentwicklung während der Freistellung</w:t>
      </w:r>
    </w:p>
    <w:p w14:paraId="3429C63B"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Entwickeln Sie sich mindestens 2 der Vergleichspersonen beruflich weiter, wird diese Fortentwicklung auch für das freigestellte Betriebsratsmitglied unterstellt.</w:t>
      </w:r>
    </w:p>
    <w:p w14:paraId="41A6A677"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 xml:space="preserve">Entwickelt sich nur eine der Vergleichspersonen weiter, wird das Unternehmen prüfen, ob diese Weiterentwicklung auch für das freigestellte Betriebsratsmitglied angenommen werden kann. </w:t>
      </w:r>
    </w:p>
    <w:p w14:paraId="314D05B0"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Bei der Fortentwicklung der Vergleichspersonen, die den Arbeitsplatz des freigestellten Betriebsratsmitglieds eingenommen haben, ist diese Fortentwicklung regelmäßig auch für das freigestellte Betriebsratsmitglied zu unterstellen. Der Betriebsrat ist vor der Entwicklung anzuhören.</w:t>
      </w:r>
    </w:p>
    <w:p w14:paraId="72DFFE56"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Ein freigestelltes Betriebsratsmitglied ist zu dem Zeitpunkt höherzugruppieren, zu dem ihm ohne die Freistellung, bei üblicher beruflicher Entwicklung eine höher bewertete Tätigkeit nicht nur vorübergehend übertragen worden wäre.</w:t>
      </w:r>
    </w:p>
    <w:p w14:paraId="162D1B70" w14:textId="77777777" w:rsidR="00060B14" w:rsidRDefault="00060B14" w:rsidP="00060B14">
      <w:pPr>
        <w:textAlignment w:val="baseline"/>
        <w:rPr>
          <w:rFonts w:eastAsia="Times New Roman" w:cs="Times New Roman"/>
          <w:kern w:val="0"/>
          <w:lang w:eastAsia="de-DE"/>
          <w14:ligatures w14:val="none"/>
        </w:rPr>
      </w:pPr>
    </w:p>
    <w:p w14:paraId="5B824445" w14:textId="77777777" w:rsidR="00060B14" w:rsidRPr="006B1EA5" w:rsidRDefault="00060B14" w:rsidP="00060B14">
      <w:pPr>
        <w:textAlignment w:val="baseline"/>
        <w:rPr>
          <w:rFonts w:eastAsia="Times New Roman" w:cs="Times New Roman"/>
          <w:b/>
          <w:bCs/>
          <w:kern w:val="0"/>
          <w:lang w:eastAsia="de-DE"/>
          <w14:ligatures w14:val="none"/>
        </w:rPr>
      </w:pPr>
      <w:r w:rsidRPr="006B1EA5">
        <w:rPr>
          <w:rFonts w:eastAsia="Times New Roman" w:cs="Times New Roman"/>
          <w:b/>
          <w:bCs/>
          <w:kern w:val="0"/>
          <w:lang w:eastAsia="de-DE"/>
          <w14:ligatures w14:val="none"/>
        </w:rPr>
        <w:t>§ 5 Meinungsverschiedenheiten</w:t>
      </w:r>
    </w:p>
    <w:p w14:paraId="2F81E7D4"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 xml:space="preserve">Kommt eine Einigung über Regelungen aus dieser Betriebsvereinbarung nicht zustande, so entscheidet eine paritätische Kommission. Die Kommission besteht aus, zwei Vertretern der Arbeitgeber und zwei vom Gesamtbetriebsrat benannten Vertretern der Arbeitnehmer. </w:t>
      </w:r>
    </w:p>
    <w:p w14:paraId="25A784E9"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Wird in der paritätischen Kommission keine Einigung erzielt, entscheidet im Anschluss die Einigungsstelle.</w:t>
      </w:r>
    </w:p>
    <w:p w14:paraId="26A2B0C5" w14:textId="77777777" w:rsidR="00060B14" w:rsidRDefault="00060B14" w:rsidP="00060B14">
      <w:pPr>
        <w:textAlignment w:val="baseline"/>
        <w:rPr>
          <w:rFonts w:eastAsia="Times New Roman" w:cs="Times New Roman"/>
          <w:kern w:val="0"/>
          <w:lang w:eastAsia="de-DE"/>
          <w14:ligatures w14:val="none"/>
        </w:rPr>
      </w:pPr>
    </w:p>
    <w:p w14:paraId="4A642C0A" w14:textId="77777777" w:rsidR="00060B14" w:rsidRPr="006B1EA5" w:rsidRDefault="00060B14" w:rsidP="00060B14">
      <w:pPr>
        <w:textAlignment w:val="baseline"/>
        <w:rPr>
          <w:rFonts w:eastAsia="Times New Roman" w:cs="Times New Roman"/>
          <w:b/>
          <w:bCs/>
          <w:kern w:val="0"/>
          <w:lang w:eastAsia="de-DE"/>
          <w14:ligatures w14:val="none"/>
        </w:rPr>
      </w:pPr>
      <w:r w:rsidRPr="006B1EA5">
        <w:rPr>
          <w:rFonts w:eastAsia="Times New Roman" w:cs="Times New Roman"/>
          <w:b/>
          <w:bCs/>
          <w:kern w:val="0"/>
          <w:lang w:eastAsia="de-DE"/>
          <w14:ligatures w14:val="none"/>
        </w:rPr>
        <w:t>§ 6 Salvatorische Klausel</w:t>
      </w:r>
    </w:p>
    <w:p w14:paraId="7FFA577E"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 xml:space="preserve">Sollten einzelne Bestimmungen dieser Betriebsvereinbarung rechtlich unwirksam sein oder werden, so tritt vorerst an ihre Stelle eine gesetzliche Regelung, die notfalls in dem Sinne interpretiert werden muss, wie es die Regelung in dieser Betriebsvereinbarung vorsieht. </w:t>
      </w:r>
    </w:p>
    <w:p w14:paraId="41FB7123"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Zudem nehmen die Parteien in diesem Fall umgehend Verhandlungen auf, um die unwirksame Bestimmung durch eine wirksame zu ersetzen.</w:t>
      </w:r>
    </w:p>
    <w:p w14:paraId="66302900" w14:textId="77777777" w:rsidR="00060B14" w:rsidRDefault="00060B14" w:rsidP="00060B14">
      <w:pPr>
        <w:textAlignment w:val="baseline"/>
        <w:rPr>
          <w:rFonts w:eastAsia="Times New Roman" w:cs="Times New Roman"/>
          <w:kern w:val="0"/>
          <w:lang w:eastAsia="de-DE"/>
          <w14:ligatures w14:val="none"/>
        </w:rPr>
      </w:pPr>
    </w:p>
    <w:p w14:paraId="60A1C44F" w14:textId="77777777" w:rsidR="00060B14" w:rsidRPr="006B1EA5" w:rsidRDefault="00060B14" w:rsidP="00060B14">
      <w:pPr>
        <w:textAlignment w:val="baseline"/>
        <w:rPr>
          <w:rFonts w:eastAsia="Times New Roman" w:cs="Times New Roman"/>
          <w:b/>
          <w:bCs/>
          <w:kern w:val="0"/>
          <w:lang w:eastAsia="de-DE"/>
          <w14:ligatures w14:val="none"/>
        </w:rPr>
      </w:pPr>
      <w:r w:rsidRPr="006B1EA5">
        <w:rPr>
          <w:rFonts w:eastAsia="Times New Roman" w:cs="Times New Roman"/>
          <w:b/>
          <w:bCs/>
          <w:kern w:val="0"/>
          <w:lang w:eastAsia="de-DE"/>
          <w14:ligatures w14:val="none"/>
        </w:rPr>
        <w:t xml:space="preserve">§ </w:t>
      </w:r>
      <w:r>
        <w:rPr>
          <w:rFonts w:eastAsia="Times New Roman" w:cs="Times New Roman"/>
          <w:b/>
          <w:bCs/>
          <w:kern w:val="0"/>
          <w:lang w:eastAsia="de-DE"/>
          <w14:ligatures w14:val="none"/>
        </w:rPr>
        <w:t>7</w:t>
      </w:r>
      <w:r w:rsidRPr="006B1EA5">
        <w:rPr>
          <w:rFonts w:eastAsia="Times New Roman" w:cs="Times New Roman"/>
          <w:b/>
          <w:bCs/>
          <w:kern w:val="0"/>
          <w:lang w:eastAsia="de-DE"/>
          <w14:ligatures w14:val="none"/>
        </w:rPr>
        <w:t xml:space="preserve"> Inkrafttreten und Kündigung</w:t>
      </w:r>
    </w:p>
    <w:p w14:paraId="38F4E656"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Die Vereinbarung tritt mit ihrer Unterzeichnung in Kraft und kann mit einer Frist von 3 Monaten zum Ende eines Kalenderjahres gekündigt werden. Die Kündigung muss schriftlich erfolgen.</w:t>
      </w:r>
    </w:p>
    <w:p w14:paraId="263550B4"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Wird die Betriebsvereinbarung von einer der unterzeichnenden Parteien gekündigt, wirkt sie bis zum Anschluss einer neuen Betriebsvereinbarung zu diesem Thema nach.</w:t>
      </w:r>
    </w:p>
    <w:p w14:paraId="6665CC99" w14:textId="77777777" w:rsidR="00060B14" w:rsidRDefault="00060B14" w:rsidP="00060B14">
      <w:pPr>
        <w:textAlignment w:val="baseline"/>
        <w:rPr>
          <w:rFonts w:eastAsia="Times New Roman" w:cs="Times New Roman"/>
          <w:kern w:val="0"/>
          <w:lang w:eastAsia="de-DE"/>
          <w14:ligatures w14:val="none"/>
        </w:rPr>
      </w:pPr>
    </w:p>
    <w:p w14:paraId="6A670729" w14:textId="77777777" w:rsidR="00060B14" w:rsidRDefault="00060B14" w:rsidP="00060B14">
      <w:pPr>
        <w:textAlignment w:val="baseline"/>
        <w:rPr>
          <w:rFonts w:eastAsia="Times New Roman" w:cs="Times New Roman"/>
          <w:kern w:val="0"/>
          <w:lang w:eastAsia="de-DE"/>
          <w14:ligatures w14:val="none"/>
        </w:rPr>
      </w:pPr>
      <w:r>
        <w:rPr>
          <w:rFonts w:eastAsia="Times New Roman" w:cs="Times New Roman"/>
          <w:kern w:val="0"/>
          <w:lang w:eastAsia="de-DE"/>
          <w14:ligatures w14:val="none"/>
        </w:rPr>
        <w:t xml:space="preserve">Ort, Datum, Unterschriften </w:t>
      </w:r>
    </w:p>
    <w:p w14:paraId="72F3E813" w14:textId="77777777" w:rsidR="00060B14" w:rsidRDefault="00060B14"/>
    <w:sectPr w:rsidR="00060B14"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B14"/>
    <w:rsid w:val="00060B14"/>
    <w:rsid w:val="00087090"/>
    <w:rsid w:val="00153551"/>
    <w:rsid w:val="002242FC"/>
    <w:rsid w:val="00407B64"/>
    <w:rsid w:val="00664AAB"/>
    <w:rsid w:val="0094513C"/>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8AA1"/>
  <w15:chartTrackingRefBased/>
  <w15:docId w15:val="{F4897D01-AF13-C341-8832-B40A6C279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60B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60B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60B1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60B1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60B1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60B14"/>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60B14"/>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60B14"/>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60B14"/>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60B1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60B1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60B1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60B1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60B1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60B1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60B1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60B1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60B14"/>
    <w:rPr>
      <w:rFonts w:eastAsiaTheme="majorEastAsia" w:cstheme="majorBidi"/>
      <w:color w:val="272727" w:themeColor="text1" w:themeTint="D8"/>
    </w:rPr>
  </w:style>
  <w:style w:type="paragraph" w:styleId="Titel">
    <w:name w:val="Title"/>
    <w:basedOn w:val="Standard"/>
    <w:next w:val="Standard"/>
    <w:link w:val="TitelZchn"/>
    <w:uiPriority w:val="10"/>
    <w:qFormat/>
    <w:rsid w:val="00060B14"/>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60B1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60B14"/>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60B1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60B1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60B14"/>
    <w:rPr>
      <w:i/>
      <w:iCs/>
      <w:color w:val="404040" w:themeColor="text1" w:themeTint="BF"/>
    </w:rPr>
  </w:style>
  <w:style w:type="paragraph" w:styleId="Listenabsatz">
    <w:name w:val="List Paragraph"/>
    <w:basedOn w:val="Standard"/>
    <w:uiPriority w:val="34"/>
    <w:qFormat/>
    <w:rsid w:val="00060B14"/>
    <w:pPr>
      <w:ind w:left="720"/>
      <w:contextualSpacing/>
    </w:pPr>
  </w:style>
  <w:style w:type="character" w:styleId="IntensiveHervorhebung">
    <w:name w:val="Intense Emphasis"/>
    <w:basedOn w:val="Absatz-Standardschriftart"/>
    <w:uiPriority w:val="21"/>
    <w:qFormat/>
    <w:rsid w:val="00060B14"/>
    <w:rPr>
      <w:i/>
      <w:iCs/>
      <w:color w:val="0F4761" w:themeColor="accent1" w:themeShade="BF"/>
    </w:rPr>
  </w:style>
  <w:style w:type="paragraph" w:styleId="IntensivesZitat">
    <w:name w:val="Intense Quote"/>
    <w:basedOn w:val="Standard"/>
    <w:next w:val="Standard"/>
    <w:link w:val="IntensivesZitatZchn"/>
    <w:uiPriority w:val="30"/>
    <w:qFormat/>
    <w:rsid w:val="00060B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60B14"/>
    <w:rPr>
      <w:i/>
      <w:iCs/>
      <w:color w:val="0F4761" w:themeColor="accent1" w:themeShade="BF"/>
    </w:rPr>
  </w:style>
  <w:style w:type="character" w:styleId="IntensiverVerweis">
    <w:name w:val="Intense Reference"/>
    <w:basedOn w:val="Absatz-Standardschriftart"/>
    <w:uiPriority w:val="32"/>
    <w:qFormat/>
    <w:rsid w:val="00060B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4530</Characters>
  <Application>Microsoft Office Word</Application>
  <DocSecurity>0</DocSecurity>
  <Lines>37</Lines>
  <Paragraphs>10</Paragraphs>
  <ScaleCrop>false</ScaleCrop>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Natalie Hölscher</cp:lastModifiedBy>
  <cp:revision>2</cp:revision>
  <dcterms:created xsi:type="dcterms:W3CDTF">2026-07-31T15:21:00Z</dcterms:created>
  <dcterms:modified xsi:type="dcterms:W3CDTF">2026-07-31T15:21:00Z</dcterms:modified>
</cp:coreProperties>
</file>