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51" w:type="dxa"/>
        <w:tblLook w:val="04A0" w:firstRow="1" w:lastRow="0" w:firstColumn="1" w:lastColumn="0" w:noHBand="0" w:noVBand="1"/>
      </w:tblPr>
      <w:tblGrid>
        <w:gridCol w:w="9451"/>
      </w:tblGrid>
      <w:tr w:rsidR="009902D1" w14:paraId="1B3F215F" w14:textId="77777777" w:rsidTr="00C568C6">
        <w:tc>
          <w:tcPr>
            <w:tcW w:w="9451" w:type="dxa"/>
          </w:tcPr>
          <w:p w14:paraId="7DC575A4" w14:textId="77777777" w:rsidR="009902D1" w:rsidRDefault="009902D1" w:rsidP="00C568C6">
            <w:pPr>
              <w:rPr>
                <w:sz w:val="18"/>
                <w:szCs w:val="18"/>
              </w:rPr>
            </w:pPr>
            <w:r>
              <w:rPr>
                <w:sz w:val="18"/>
                <w:szCs w:val="18"/>
              </w:rPr>
              <w:t>Nutzen Sie die Impulse und bauen Sie als Betriebsrat gemeinsam mit Ihrem Arbeitgeber ein strukturiertes Fehlzeitenmanagement aus</w:t>
            </w:r>
          </w:p>
        </w:tc>
      </w:tr>
      <w:tr w:rsidR="009902D1" w14:paraId="1423E369" w14:textId="77777777" w:rsidTr="00C568C6">
        <w:tc>
          <w:tcPr>
            <w:tcW w:w="9451" w:type="dxa"/>
            <w:shd w:val="clear" w:color="auto" w:fill="E8E8E8" w:themeFill="background2"/>
          </w:tcPr>
          <w:p w14:paraId="5FEFF8AD" w14:textId="77777777" w:rsidR="009902D1" w:rsidRPr="00237162" w:rsidRDefault="009902D1" w:rsidP="00C568C6">
            <w:pPr>
              <w:rPr>
                <w:b/>
                <w:bCs/>
                <w:sz w:val="18"/>
                <w:szCs w:val="18"/>
              </w:rPr>
            </w:pPr>
            <w:r w:rsidRPr="00237162">
              <w:rPr>
                <w:b/>
                <w:bCs/>
                <w:sz w:val="18"/>
                <w:szCs w:val="18"/>
              </w:rPr>
              <w:t>Kennzahlen und Statistik</w:t>
            </w:r>
          </w:p>
        </w:tc>
      </w:tr>
      <w:tr w:rsidR="009902D1" w14:paraId="5A0A642C" w14:textId="77777777" w:rsidTr="00C568C6">
        <w:tc>
          <w:tcPr>
            <w:tcW w:w="9451" w:type="dxa"/>
            <w:shd w:val="clear" w:color="auto" w:fill="FFFFFF" w:themeFill="background1"/>
          </w:tcPr>
          <w:p w14:paraId="3FD7EF76" w14:textId="242D10F8" w:rsidR="009902D1" w:rsidRPr="005E088C" w:rsidRDefault="009902D1" w:rsidP="00C568C6">
            <w:pPr>
              <w:rPr>
                <w:sz w:val="18"/>
                <w:szCs w:val="18"/>
              </w:rPr>
            </w:pPr>
            <w:r w:rsidRPr="005E088C">
              <w:rPr>
                <w:sz w:val="18"/>
                <w:szCs w:val="18"/>
              </w:rPr>
              <w:t xml:space="preserve">Alle Kennzahlen kann Ihnen Ihre Personalabteilung bzw. die Abrechnung liefern. Fordern Sie folgende Zahlen regelmäßig </w:t>
            </w:r>
            <w:r>
              <w:rPr>
                <w:sz w:val="18"/>
                <w:szCs w:val="18"/>
              </w:rPr>
              <w:t xml:space="preserve">(monatlich) von Ihrem Arbeitgeber </w:t>
            </w:r>
            <w:r w:rsidRPr="005E088C">
              <w:rPr>
                <w:sz w:val="18"/>
                <w:szCs w:val="18"/>
              </w:rPr>
              <w:t>ein</w:t>
            </w:r>
            <w:r>
              <w:rPr>
                <w:sz w:val="18"/>
                <w:szCs w:val="18"/>
              </w:rPr>
              <w:t>.</w:t>
            </w:r>
          </w:p>
        </w:tc>
      </w:tr>
      <w:tr w:rsidR="009902D1" w14:paraId="4FCAECA2" w14:textId="77777777" w:rsidTr="00C568C6">
        <w:tc>
          <w:tcPr>
            <w:tcW w:w="9451" w:type="dxa"/>
          </w:tcPr>
          <w:p w14:paraId="5BB1D1D0" w14:textId="749E5501" w:rsidR="009902D1" w:rsidRDefault="009902D1" w:rsidP="00C568C6">
            <w:pPr>
              <w:rPr>
                <w:sz w:val="18"/>
                <w:szCs w:val="18"/>
              </w:rPr>
            </w:pPr>
            <w:r w:rsidRPr="008D31DC">
              <w:rPr>
                <w:b/>
                <w:bCs/>
                <w:sz w:val="18"/>
                <w:szCs w:val="18"/>
              </w:rPr>
              <w:t>Krankheitsquote.</w:t>
            </w:r>
            <w:r>
              <w:rPr>
                <w:sz w:val="18"/>
                <w:szCs w:val="18"/>
              </w:rPr>
              <w:t xml:space="preserve"> Prüfen Sie, wie diese vom Personal in Ihrem Betrieb berechnet wird. Es sollten die Anzahl der krankheitsbedingten Fehlstunden durch die Soll-Stunden gerechnet werden. Werden ganze Tage für die Rechnung genutzt, dann ist eine Verzerrung durch Teilzeitarbeitsplätze gegeben. In der Produktion liegt die Krankheitsquote oft über 6 %, im Verwaltungsbereich zwischen 3</w:t>
            </w:r>
            <w:r w:rsidR="00AA2008">
              <w:rPr>
                <w:sz w:val="18"/>
                <w:szCs w:val="18"/>
              </w:rPr>
              <w:t xml:space="preserve"> und </w:t>
            </w:r>
            <w:r>
              <w:rPr>
                <w:sz w:val="18"/>
                <w:szCs w:val="18"/>
              </w:rPr>
              <w:t>5 %.</w:t>
            </w:r>
          </w:p>
        </w:tc>
      </w:tr>
      <w:tr w:rsidR="009902D1" w14:paraId="03CE112B" w14:textId="77777777" w:rsidTr="00C568C6">
        <w:tc>
          <w:tcPr>
            <w:tcW w:w="9451" w:type="dxa"/>
          </w:tcPr>
          <w:p w14:paraId="36E4D50C" w14:textId="233B586C" w:rsidR="009902D1" w:rsidRDefault="009902D1" w:rsidP="00C568C6">
            <w:pPr>
              <w:rPr>
                <w:sz w:val="18"/>
                <w:szCs w:val="18"/>
              </w:rPr>
            </w:pPr>
            <w:r w:rsidRPr="008D31DC">
              <w:rPr>
                <w:b/>
                <w:bCs/>
                <w:sz w:val="18"/>
                <w:szCs w:val="18"/>
              </w:rPr>
              <w:t>Krankheitstage pro Kollegen:</w:t>
            </w:r>
            <w:r>
              <w:rPr>
                <w:sz w:val="18"/>
                <w:szCs w:val="18"/>
              </w:rPr>
              <w:t xml:space="preserve"> Gesamtzahl der Krankheitstage durch die Anzahl aller Kollegen. Hier darf in ganzen Tagen gerechnet werden und </w:t>
            </w:r>
            <w:r w:rsidR="00AA2008">
              <w:rPr>
                <w:sz w:val="18"/>
                <w:szCs w:val="18"/>
              </w:rPr>
              <w:t xml:space="preserve">es </w:t>
            </w:r>
            <w:r>
              <w:rPr>
                <w:sz w:val="18"/>
                <w:szCs w:val="18"/>
              </w:rPr>
              <w:t>gibt an, wie</w:t>
            </w:r>
            <w:r w:rsidR="00AA2008">
              <w:rPr>
                <w:sz w:val="18"/>
                <w:szCs w:val="18"/>
              </w:rPr>
              <w:t xml:space="preserve"> </w:t>
            </w:r>
            <w:r>
              <w:rPr>
                <w:sz w:val="18"/>
                <w:szCs w:val="18"/>
              </w:rPr>
              <w:t>viel</w:t>
            </w:r>
            <w:r w:rsidR="00AA2008">
              <w:rPr>
                <w:sz w:val="18"/>
                <w:szCs w:val="18"/>
              </w:rPr>
              <w:t>e</w:t>
            </w:r>
            <w:r>
              <w:rPr>
                <w:sz w:val="18"/>
                <w:szCs w:val="18"/>
              </w:rPr>
              <w:t xml:space="preserve"> Tag</w:t>
            </w:r>
            <w:r w:rsidR="00AA2008">
              <w:rPr>
                <w:sz w:val="18"/>
                <w:szCs w:val="18"/>
              </w:rPr>
              <w:t>e</w:t>
            </w:r>
            <w:r>
              <w:rPr>
                <w:sz w:val="18"/>
                <w:szCs w:val="18"/>
              </w:rPr>
              <w:t xml:space="preserve"> im Jahr </w:t>
            </w:r>
            <w:r w:rsidR="00AA2008">
              <w:rPr>
                <w:sz w:val="18"/>
                <w:szCs w:val="18"/>
              </w:rPr>
              <w:t xml:space="preserve">die Kollegen </w:t>
            </w:r>
            <w:r>
              <w:rPr>
                <w:sz w:val="18"/>
                <w:szCs w:val="18"/>
              </w:rPr>
              <w:t>krank waren. Nach dem AOK-Gesundheitsreport waren es 2025 durchschnittlich 23,9 Tage.</w:t>
            </w:r>
          </w:p>
        </w:tc>
      </w:tr>
      <w:tr w:rsidR="009902D1" w14:paraId="168ADE61" w14:textId="77777777" w:rsidTr="00C568C6">
        <w:tc>
          <w:tcPr>
            <w:tcW w:w="9451" w:type="dxa"/>
          </w:tcPr>
          <w:p w14:paraId="13755000" w14:textId="5624574E" w:rsidR="009902D1" w:rsidRDefault="009902D1" w:rsidP="00C568C6">
            <w:pPr>
              <w:rPr>
                <w:sz w:val="18"/>
                <w:szCs w:val="18"/>
              </w:rPr>
            </w:pPr>
            <w:r w:rsidRPr="00237162">
              <w:rPr>
                <w:b/>
                <w:bCs/>
                <w:sz w:val="18"/>
                <w:szCs w:val="18"/>
              </w:rPr>
              <w:t>Häufigkeit:</w:t>
            </w:r>
            <w:r>
              <w:rPr>
                <w:sz w:val="18"/>
                <w:szCs w:val="18"/>
              </w:rPr>
              <w:t xml:space="preserve"> Interessant ist auch, </w:t>
            </w:r>
            <w:r w:rsidR="00AA2008">
              <w:rPr>
                <w:sz w:val="18"/>
                <w:szCs w:val="18"/>
              </w:rPr>
              <w:t xml:space="preserve">wie </w:t>
            </w:r>
            <w:r>
              <w:rPr>
                <w:sz w:val="18"/>
                <w:szCs w:val="18"/>
              </w:rPr>
              <w:t>viel</w:t>
            </w:r>
            <w:r w:rsidR="00AA2008">
              <w:rPr>
                <w:sz w:val="18"/>
                <w:szCs w:val="18"/>
              </w:rPr>
              <w:t>e</w:t>
            </w:r>
            <w:r>
              <w:rPr>
                <w:sz w:val="18"/>
                <w:szCs w:val="18"/>
              </w:rPr>
              <w:t xml:space="preserve"> Kollegen kurzzeitig krank sind und wie häufig dies vorkommt. Dies kann oft ein wichtiger Hinweis auf psychische Problem</w:t>
            </w:r>
            <w:r w:rsidR="00AA2008">
              <w:rPr>
                <w:sz w:val="18"/>
                <w:szCs w:val="18"/>
              </w:rPr>
              <w:t>e</w:t>
            </w:r>
            <w:r>
              <w:rPr>
                <w:sz w:val="18"/>
                <w:szCs w:val="18"/>
              </w:rPr>
              <w:t xml:space="preserve"> oder Konflikte in </w:t>
            </w:r>
            <w:r w:rsidR="00AA2008">
              <w:rPr>
                <w:sz w:val="18"/>
                <w:szCs w:val="18"/>
              </w:rPr>
              <w:t xml:space="preserve">der </w:t>
            </w:r>
            <w:r>
              <w:rPr>
                <w:sz w:val="18"/>
                <w:szCs w:val="18"/>
              </w:rPr>
              <w:t>Abteilung</w:t>
            </w:r>
            <w:r w:rsidR="00AA2008">
              <w:rPr>
                <w:sz w:val="18"/>
                <w:szCs w:val="18"/>
              </w:rPr>
              <w:t xml:space="preserve"> sein</w:t>
            </w:r>
            <w:r>
              <w:rPr>
                <w:sz w:val="18"/>
                <w:szCs w:val="18"/>
              </w:rPr>
              <w:t>. Die Zeiten sind zusammengerechnet auch für das BEM wichtig. Ab 6 Wochen AU innerhalb von 12 Monaten muss Ihr Arbeitgeber dem betroffenen Kollegen ein BEM anbieten</w:t>
            </w:r>
            <w:r w:rsidR="00AA2008">
              <w:rPr>
                <w:sz w:val="18"/>
                <w:szCs w:val="18"/>
              </w:rPr>
              <w:t>.</w:t>
            </w:r>
          </w:p>
        </w:tc>
      </w:tr>
      <w:tr w:rsidR="009902D1" w14:paraId="59DD9869" w14:textId="77777777" w:rsidTr="00C568C6">
        <w:tc>
          <w:tcPr>
            <w:tcW w:w="9451" w:type="dxa"/>
          </w:tcPr>
          <w:p w14:paraId="6881E290" w14:textId="39053EA0" w:rsidR="009902D1" w:rsidRPr="00237162" w:rsidRDefault="009902D1" w:rsidP="00C568C6">
            <w:pPr>
              <w:rPr>
                <w:b/>
                <w:bCs/>
                <w:sz w:val="18"/>
                <w:szCs w:val="18"/>
              </w:rPr>
            </w:pPr>
            <w:r>
              <w:rPr>
                <w:b/>
                <w:bCs/>
                <w:sz w:val="18"/>
                <w:szCs w:val="18"/>
              </w:rPr>
              <w:t xml:space="preserve">Diagnose: </w:t>
            </w:r>
            <w:r w:rsidRPr="005E1DAE">
              <w:rPr>
                <w:sz w:val="18"/>
                <w:szCs w:val="18"/>
              </w:rPr>
              <w:t xml:space="preserve">Über die Krankenkassen kann Ihr Arbeitgeber – je nach Anzahl der </w:t>
            </w:r>
            <w:r w:rsidR="00AA2008">
              <w:rPr>
                <w:sz w:val="18"/>
                <w:szCs w:val="18"/>
              </w:rPr>
              <w:t>v</w:t>
            </w:r>
            <w:r w:rsidRPr="005E1DAE">
              <w:rPr>
                <w:sz w:val="18"/>
                <w:szCs w:val="18"/>
              </w:rPr>
              <w:t xml:space="preserve">ersicherten Kollegen – pro Jahr einen Gesundheitsreport anfordern. So erfahren Sie mehr über die Hauptgründe, warum die Kollegen durch den Arzt krankgeschrieben waren. Dies ist in der Regel, wenn keine anderen betrieblichen Regelungen greifen, am </w:t>
            </w:r>
            <w:r w:rsidR="00AA2008">
              <w:rPr>
                <w:sz w:val="18"/>
                <w:szCs w:val="18"/>
              </w:rPr>
              <w:t>vierten</w:t>
            </w:r>
            <w:r w:rsidRPr="005E1DAE">
              <w:rPr>
                <w:sz w:val="18"/>
                <w:szCs w:val="18"/>
              </w:rPr>
              <w:t xml:space="preserve"> Krankheitstag der Fall. Die Hauptgründe in den letzten Jahren waren Atemwegserkrankungen, psychische Erkrankungen und Muskel</w:t>
            </w:r>
            <w:r w:rsidR="00AA2008">
              <w:rPr>
                <w:sz w:val="18"/>
                <w:szCs w:val="18"/>
              </w:rPr>
              <w:t>-S</w:t>
            </w:r>
            <w:r w:rsidRPr="005E1DAE">
              <w:rPr>
                <w:sz w:val="18"/>
                <w:szCs w:val="18"/>
              </w:rPr>
              <w:t>kelett</w:t>
            </w:r>
            <w:r w:rsidR="00AA2008">
              <w:rPr>
                <w:sz w:val="18"/>
                <w:szCs w:val="18"/>
              </w:rPr>
              <w:t>-E</w:t>
            </w:r>
            <w:r w:rsidRPr="005E1DAE">
              <w:rPr>
                <w:sz w:val="18"/>
                <w:szCs w:val="18"/>
              </w:rPr>
              <w:t>rkrankungen.</w:t>
            </w:r>
          </w:p>
        </w:tc>
      </w:tr>
      <w:tr w:rsidR="009902D1" w14:paraId="441200C5" w14:textId="77777777" w:rsidTr="00C568C6">
        <w:tc>
          <w:tcPr>
            <w:tcW w:w="9451" w:type="dxa"/>
            <w:shd w:val="clear" w:color="auto" w:fill="E8E8E8" w:themeFill="background2"/>
          </w:tcPr>
          <w:p w14:paraId="252CD5C7" w14:textId="77777777" w:rsidR="009902D1" w:rsidRPr="00237162" w:rsidRDefault="009902D1" w:rsidP="00C568C6">
            <w:pPr>
              <w:rPr>
                <w:b/>
                <w:bCs/>
                <w:sz w:val="18"/>
                <w:szCs w:val="18"/>
              </w:rPr>
            </w:pPr>
            <w:r w:rsidRPr="00237162">
              <w:rPr>
                <w:b/>
                <w:bCs/>
                <w:sz w:val="18"/>
                <w:szCs w:val="18"/>
              </w:rPr>
              <w:t>Analyse</w:t>
            </w:r>
          </w:p>
        </w:tc>
      </w:tr>
      <w:tr w:rsidR="009902D1" w14:paraId="7EAEB69B" w14:textId="77777777" w:rsidTr="00C568C6">
        <w:tc>
          <w:tcPr>
            <w:tcW w:w="9451" w:type="dxa"/>
          </w:tcPr>
          <w:p w14:paraId="01B4585E" w14:textId="194055D8" w:rsidR="009902D1" w:rsidRDefault="009902D1" w:rsidP="00C568C6">
            <w:pPr>
              <w:rPr>
                <w:sz w:val="18"/>
                <w:szCs w:val="18"/>
              </w:rPr>
            </w:pPr>
            <w:r>
              <w:rPr>
                <w:sz w:val="18"/>
                <w:szCs w:val="18"/>
              </w:rPr>
              <w:t>Nach der Erhebung der Kennzahlen kommt die Analyse. Sie können die Kennzahlen nutzen und</w:t>
            </w:r>
            <w:r w:rsidR="00AA2008">
              <w:rPr>
                <w:sz w:val="18"/>
                <w:szCs w:val="18"/>
              </w:rPr>
              <w:t xml:space="preserve"> </w:t>
            </w:r>
            <w:r>
              <w:rPr>
                <w:sz w:val="18"/>
                <w:szCs w:val="18"/>
              </w:rPr>
              <w:t>…</w:t>
            </w:r>
          </w:p>
        </w:tc>
      </w:tr>
      <w:tr w:rsidR="009902D1" w14:paraId="15EEFC94" w14:textId="77777777" w:rsidTr="00C568C6">
        <w:tc>
          <w:tcPr>
            <w:tcW w:w="9451" w:type="dxa"/>
          </w:tcPr>
          <w:p w14:paraId="0FA05BD0" w14:textId="1FE7BA46" w:rsidR="009902D1" w:rsidRDefault="009902D1" w:rsidP="00C568C6">
            <w:pPr>
              <w:rPr>
                <w:sz w:val="18"/>
                <w:szCs w:val="18"/>
              </w:rPr>
            </w:pPr>
            <w:r w:rsidRPr="002132C2">
              <w:rPr>
                <w:b/>
                <w:bCs/>
                <w:sz w:val="18"/>
                <w:szCs w:val="18"/>
              </w:rPr>
              <w:t>Vergleiche anstellen:</w:t>
            </w:r>
            <w:r>
              <w:rPr>
                <w:sz w:val="18"/>
                <w:szCs w:val="18"/>
              </w:rPr>
              <w:t xml:space="preserve"> Gibt es Abweichungen zu den Vormonaten, dem Vorjahr oder seit Beginn eines Projekts? Gibt es deutliche Unterschiede zwischen den Abteilungen, trotz gleicher Arbeitstätigkeit</w:t>
            </w:r>
            <w:r w:rsidR="00AA2008">
              <w:rPr>
                <w:sz w:val="18"/>
                <w:szCs w:val="18"/>
              </w:rPr>
              <w:t>?</w:t>
            </w:r>
            <w:r>
              <w:rPr>
                <w:sz w:val="18"/>
                <w:szCs w:val="18"/>
              </w:rPr>
              <w:t xml:space="preserve"> Das kann ein Hinweis auf Führungsprobleme sein.</w:t>
            </w:r>
          </w:p>
        </w:tc>
      </w:tr>
      <w:tr w:rsidR="009902D1" w14:paraId="50FD1383" w14:textId="77777777" w:rsidTr="00C568C6">
        <w:tc>
          <w:tcPr>
            <w:tcW w:w="9451" w:type="dxa"/>
          </w:tcPr>
          <w:p w14:paraId="0C5C6E38" w14:textId="4EED22B0" w:rsidR="009902D1" w:rsidRDefault="009902D1" w:rsidP="00C568C6">
            <w:pPr>
              <w:rPr>
                <w:sz w:val="18"/>
                <w:szCs w:val="18"/>
              </w:rPr>
            </w:pPr>
            <w:r w:rsidRPr="003C7DE9">
              <w:rPr>
                <w:b/>
                <w:bCs/>
                <w:sz w:val="18"/>
                <w:szCs w:val="18"/>
              </w:rPr>
              <w:t>Ursachen benennen:</w:t>
            </w:r>
            <w:r>
              <w:rPr>
                <w:sz w:val="18"/>
                <w:szCs w:val="18"/>
              </w:rPr>
              <w:t xml:space="preserve"> Bei auffälligen Arbeitsbereichen sollten Sie gezielt als Betriebsrat und auch Vertrauensperson bei den Kollegen nachfragen: Ist die Arbeit zu monoton? Ist die Arbeitslast zu groß? Müssen viele Überstunden gemacht werden? Spielt die Führungskraft eine Rolle</w:t>
            </w:r>
            <w:r w:rsidR="00AA2008">
              <w:rPr>
                <w:sz w:val="18"/>
                <w:szCs w:val="18"/>
              </w:rPr>
              <w:t>,</w:t>
            </w:r>
            <w:r>
              <w:rPr>
                <w:sz w:val="18"/>
                <w:szCs w:val="18"/>
              </w:rPr>
              <w:t xml:space="preserve"> oder Konflikte im Team? Sind viele Teilzeiteltern in den Bereichen beschäftigt, die durch die Doppelbelastung von Beruf und Familie mehr Unterstützung im Alltag benötigen?</w:t>
            </w:r>
          </w:p>
        </w:tc>
      </w:tr>
      <w:tr w:rsidR="009902D1" w14:paraId="664DE072" w14:textId="77777777" w:rsidTr="00C568C6">
        <w:tc>
          <w:tcPr>
            <w:tcW w:w="9451" w:type="dxa"/>
            <w:shd w:val="clear" w:color="auto" w:fill="E8E8E8" w:themeFill="background2"/>
          </w:tcPr>
          <w:p w14:paraId="17E27923" w14:textId="77777777" w:rsidR="009902D1" w:rsidRPr="00236362" w:rsidRDefault="009902D1" w:rsidP="00C568C6">
            <w:pPr>
              <w:rPr>
                <w:b/>
                <w:bCs/>
                <w:sz w:val="18"/>
                <w:szCs w:val="18"/>
              </w:rPr>
            </w:pPr>
            <w:r w:rsidRPr="00236362">
              <w:rPr>
                <w:b/>
                <w:bCs/>
                <w:sz w:val="18"/>
                <w:szCs w:val="18"/>
              </w:rPr>
              <w:t>Maßnahmen</w:t>
            </w:r>
          </w:p>
        </w:tc>
      </w:tr>
      <w:tr w:rsidR="009902D1" w14:paraId="5A7C052F" w14:textId="77777777" w:rsidTr="00C568C6">
        <w:tc>
          <w:tcPr>
            <w:tcW w:w="9451" w:type="dxa"/>
          </w:tcPr>
          <w:p w14:paraId="54A8601C" w14:textId="7A58A2C2" w:rsidR="009902D1" w:rsidRDefault="009902D1" w:rsidP="00C568C6">
            <w:pPr>
              <w:rPr>
                <w:sz w:val="18"/>
                <w:szCs w:val="18"/>
              </w:rPr>
            </w:pPr>
            <w:r>
              <w:rPr>
                <w:sz w:val="18"/>
                <w:szCs w:val="18"/>
              </w:rPr>
              <w:t>Prävention kostet Geld, Krankheit auch. Überzeugen Sie Ihren Arbeitgeber genau damit und zeigen Sie auf, dass Sie das Geld für Maßnahmen nicht mit der Gießkanne verteilen, sondern gezielt einsetzen. Hier einige Beispiele</w:t>
            </w:r>
            <w:r w:rsidR="00AA2008">
              <w:rPr>
                <w:sz w:val="18"/>
                <w:szCs w:val="18"/>
              </w:rPr>
              <w:t>.</w:t>
            </w:r>
          </w:p>
        </w:tc>
      </w:tr>
      <w:tr w:rsidR="009902D1" w14:paraId="40070D7E" w14:textId="77777777" w:rsidTr="00C568C6">
        <w:tc>
          <w:tcPr>
            <w:tcW w:w="9451" w:type="dxa"/>
          </w:tcPr>
          <w:p w14:paraId="62DFD54E" w14:textId="77777777" w:rsidR="009902D1" w:rsidRDefault="009902D1" w:rsidP="00C568C6">
            <w:pPr>
              <w:rPr>
                <w:sz w:val="18"/>
                <w:szCs w:val="18"/>
              </w:rPr>
            </w:pPr>
            <w:r w:rsidRPr="006F7A6A">
              <w:rPr>
                <w:b/>
                <w:bCs/>
                <w:sz w:val="18"/>
                <w:szCs w:val="18"/>
              </w:rPr>
              <w:t>Gesundheitsmaßnahmen:</w:t>
            </w:r>
            <w:r>
              <w:rPr>
                <w:sz w:val="18"/>
                <w:szCs w:val="18"/>
              </w:rPr>
              <w:t xml:space="preserve"> Kurzimpulse zu Stress und Entspannung, Resilienz Workshops, Bewegungsangebote direkt am Arbeitsplatz, Impulse zur psychischen Fitness in den Teambesprechungen, Ausbildung von Gesundheitslotsen in Abteilungen mit hohen Krankenständen, Schulung der Führungskräfte etc. Natürlich kann Ihr Arbeitgeber auch präventiv in die Gesundheit investieren und Gesundheitsangebote wie E-Gym-Wellpass oder Hansefitness anbieten. Damit stärkt er dann vorwiegend seine Arbeitgeberattraktivität.</w:t>
            </w:r>
          </w:p>
        </w:tc>
      </w:tr>
      <w:tr w:rsidR="009902D1" w14:paraId="586FDE21" w14:textId="77777777" w:rsidTr="00C568C6">
        <w:tc>
          <w:tcPr>
            <w:tcW w:w="9451" w:type="dxa"/>
          </w:tcPr>
          <w:p w14:paraId="699D73C9" w14:textId="1F8DCE5A" w:rsidR="009902D1" w:rsidRDefault="009902D1" w:rsidP="00C568C6">
            <w:pPr>
              <w:rPr>
                <w:sz w:val="18"/>
                <w:szCs w:val="18"/>
              </w:rPr>
            </w:pPr>
            <w:r w:rsidRPr="006F7A6A">
              <w:rPr>
                <w:b/>
                <w:bCs/>
                <w:sz w:val="18"/>
                <w:szCs w:val="18"/>
              </w:rPr>
              <w:t>Unterstützungsmaßnahmen:</w:t>
            </w:r>
            <w:r>
              <w:rPr>
                <w:sz w:val="18"/>
                <w:szCs w:val="18"/>
              </w:rPr>
              <w:t xml:space="preserve"> Arbeiten viele Kollegen bei Ihnen, die sich um einen zu pflegenden Angehörigen kümmern müssen? Dann sind Angebote und Informationen über Pflege und Arbeit hilfreich. Arbeiten viele Eltern mit Kindern in Ihrem Betrieb, so braucht es ggf. hier mehr Unterstützung</w:t>
            </w:r>
            <w:r w:rsidR="00AA2008">
              <w:rPr>
                <w:sz w:val="18"/>
                <w:szCs w:val="18"/>
              </w:rPr>
              <w:t xml:space="preserve"> – o</w:t>
            </w:r>
            <w:r>
              <w:rPr>
                <w:sz w:val="18"/>
                <w:szCs w:val="18"/>
              </w:rPr>
              <w:t>b Ferienbetreuung, Homeoffice oder Hausaufgabentreff.</w:t>
            </w:r>
          </w:p>
        </w:tc>
      </w:tr>
      <w:tr w:rsidR="009902D1" w14:paraId="3E7AB870" w14:textId="77777777" w:rsidTr="00C568C6">
        <w:tc>
          <w:tcPr>
            <w:tcW w:w="9451" w:type="dxa"/>
            <w:shd w:val="clear" w:color="auto" w:fill="E8E8E8" w:themeFill="background2"/>
          </w:tcPr>
          <w:p w14:paraId="56A97858" w14:textId="77777777" w:rsidR="009902D1" w:rsidRPr="005B1805" w:rsidRDefault="009902D1" w:rsidP="00C568C6">
            <w:pPr>
              <w:rPr>
                <w:b/>
                <w:bCs/>
                <w:sz w:val="18"/>
                <w:szCs w:val="18"/>
              </w:rPr>
            </w:pPr>
            <w:r w:rsidRPr="005B1805">
              <w:rPr>
                <w:b/>
                <w:bCs/>
                <w:sz w:val="18"/>
                <w:szCs w:val="18"/>
              </w:rPr>
              <w:t>Wiedereingliederung</w:t>
            </w:r>
          </w:p>
        </w:tc>
      </w:tr>
      <w:tr w:rsidR="009902D1" w14:paraId="49155662" w14:textId="77777777" w:rsidTr="00C568C6">
        <w:tc>
          <w:tcPr>
            <w:tcW w:w="9451" w:type="dxa"/>
          </w:tcPr>
          <w:p w14:paraId="05026CD2" w14:textId="77777777" w:rsidR="009902D1" w:rsidRDefault="009902D1" w:rsidP="00C568C6">
            <w:pPr>
              <w:rPr>
                <w:sz w:val="18"/>
                <w:szCs w:val="18"/>
              </w:rPr>
            </w:pPr>
            <w:r>
              <w:rPr>
                <w:sz w:val="18"/>
                <w:szCs w:val="18"/>
              </w:rPr>
              <w:t>Das BEM ist gesetzlich verankert und muss von Ihrem Arbeitgeber angeboten werden. Ihnen als Betriebsrat kommt dabei eine wichtige Kontrollaufgabe zu und eine Mitgestaltung beim BEM-Prozess. Nur auf Wunsch der Kollegen nehmen Sie auch an den BEM-Gesprächen teil.</w:t>
            </w:r>
          </w:p>
        </w:tc>
      </w:tr>
      <w:tr w:rsidR="009902D1" w14:paraId="54AAC321" w14:textId="77777777" w:rsidTr="00C568C6">
        <w:tc>
          <w:tcPr>
            <w:tcW w:w="9451" w:type="dxa"/>
          </w:tcPr>
          <w:p w14:paraId="529FB9E1" w14:textId="1E322425" w:rsidR="009902D1" w:rsidRDefault="009902D1" w:rsidP="00C568C6">
            <w:pPr>
              <w:rPr>
                <w:sz w:val="18"/>
                <w:szCs w:val="18"/>
              </w:rPr>
            </w:pPr>
            <w:r w:rsidRPr="009902D1">
              <w:rPr>
                <w:b/>
                <w:bCs/>
                <w:sz w:val="18"/>
                <w:szCs w:val="18"/>
              </w:rPr>
              <w:t>Betroffene Kollegen identifizieren:</w:t>
            </w:r>
            <w:r>
              <w:rPr>
                <w:sz w:val="18"/>
                <w:szCs w:val="18"/>
              </w:rPr>
              <w:t xml:space="preserve"> Ihr Arbeitgeber muss den Kollegen, die innerhalb von 12 Monaten 6 Wochen am Stück oder gestückelt krank waren</w:t>
            </w:r>
            <w:r w:rsidR="00AA2008">
              <w:rPr>
                <w:sz w:val="18"/>
                <w:szCs w:val="18"/>
              </w:rPr>
              <w:t>,</w:t>
            </w:r>
            <w:r>
              <w:rPr>
                <w:sz w:val="18"/>
                <w:szCs w:val="18"/>
              </w:rPr>
              <w:t xml:space="preserve"> ein BEM anbieten. </w:t>
            </w:r>
          </w:p>
        </w:tc>
      </w:tr>
      <w:tr w:rsidR="009902D1" w14:paraId="204AB41C" w14:textId="77777777" w:rsidTr="00C568C6">
        <w:tc>
          <w:tcPr>
            <w:tcW w:w="9451" w:type="dxa"/>
          </w:tcPr>
          <w:p w14:paraId="360CB363" w14:textId="0D308774" w:rsidR="009902D1" w:rsidRDefault="009902D1" w:rsidP="00C568C6">
            <w:pPr>
              <w:rPr>
                <w:sz w:val="18"/>
                <w:szCs w:val="18"/>
              </w:rPr>
            </w:pPr>
            <w:r w:rsidRPr="009902D1">
              <w:rPr>
                <w:b/>
                <w:bCs/>
                <w:sz w:val="18"/>
                <w:szCs w:val="18"/>
              </w:rPr>
              <w:t>BEM-Gespräche:</w:t>
            </w:r>
            <w:r>
              <w:rPr>
                <w:sz w:val="18"/>
                <w:szCs w:val="18"/>
              </w:rPr>
              <w:t xml:space="preserve"> Das Ziel von BEM-Gesprächen ist es, gemeinsam nach Lösungen zu suchen, wie ein Kollege wieder an seinen Arbeitsplatz zurückkehren kann und was es dafür braucht. Das kann eine Umstellung der Arbeitszeit, eine andere Aufgabe oder ein ergonomisches Hilfsmittel sein.</w:t>
            </w:r>
          </w:p>
        </w:tc>
      </w:tr>
      <w:tr w:rsidR="009902D1" w14:paraId="413F468D" w14:textId="77777777" w:rsidTr="00C568C6">
        <w:tc>
          <w:tcPr>
            <w:tcW w:w="9451" w:type="dxa"/>
          </w:tcPr>
          <w:p w14:paraId="6CEC5329" w14:textId="6DFFA828" w:rsidR="009902D1" w:rsidRDefault="009902D1" w:rsidP="00C568C6">
            <w:pPr>
              <w:rPr>
                <w:sz w:val="18"/>
                <w:szCs w:val="18"/>
              </w:rPr>
            </w:pPr>
            <w:r w:rsidRPr="009902D1">
              <w:rPr>
                <w:b/>
                <w:bCs/>
                <w:sz w:val="18"/>
                <w:szCs w:val="18"/>
              </w:rPr>
              <w:t>Zu finden unter adiuva.de unter der Eingabe des Titels im Suchfeld</w:t>
            </w:r>
          </w:p>
        </w:tc>
      </w:tr>
    </w:tbl>
    <w:p w14:paraId="066C022E" w14:textId="77777777" w:rsidR="007A5896" w:rsidRDefault="007A5896"/>
    <w:sectPr w:rsidR="007A589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D1"/>
    <w:rsid w:val="00014F84"/>
    <w:rsid w:val="003737AD"/>
    <w:rsid w:val="00585EF7"/>
    <w:rsid w:val="005D26D2"/>
    <w:rsid w:val="007A5896"/>
    <w:rsid w:val="007C0414"/>
    <w:rsid w:val="0091003A"/>
    <w:rsid w:val="009902D1"/>
    <w:rsid w:val="009F4E03"/>
    <w:rsid w:val="00A22A99"/>
    <w:rsid w:val="00AA2008"/>
    <w:rsid w:val="00ED2EB7"/>
    <w:rsid w:val="00F622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4256"/>
  <w15:chartTrackingRefBased/>
  <w15:docId w15:val="{2AFAF712-E1A4-4A97-8FF9-607069B1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902D1"/>
  </w:style>
  <w:style w:type="paragraph" w:styleId="berschrift1">
    <w:name w:val="heading 1"/>
    <w:basedOn w:val="Standard"/>
    <w:next w:val="Standard"/>
    <w:link w:val="berschrift1Zchn"/>
    <w:uiPriority w:val="9"/>
    <w:qFormat/>
    <w:rsid w:val="00990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90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902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902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902D1"/>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9902D1"/>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902D1"/>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902D1"/>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902D1"/>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902D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902D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902D1"/>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902D1"/>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902D1"/>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9902D1"/>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902D1"/>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902D1"/>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902D1"/>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90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902D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902D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902D1"/>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902D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902D1"/>
    <w:rPr>
      <w:i/>
      <w:iCs/>
      <w:color w:val="404040" w:themeColor="text1" w:themeTint="BF"/>
    </w:rPr>
  </w:style>
  <w:style w:type="paragraph" w:styleId="Listenabsatz">
    <w:name w:val="List Paragraph"/>
    <w:basedOn w:val="Standard"/>
    <w:uiPriority w:val="34"/>
    <w:qFormat/>
    <w:rsid w:val="009902D1"/>
    <w:pPr>
      <w:ind w:left="720"/>
      <w:contextualSpacing/>
    </w:pPr>
  </w:style>
  <w:style w:type="character" w:styleId="IntensiveHervorhebung">
    <w:name w:val="Intense Emphasis"/>
    <w:basedOn w:val="Absatz-Standardschriftart"/>
    <w:uiPriority w:val="21"/>
    <w:qFormat/>
    <w:rsid w:val="009902D1"/>
    <w:rPr>
      <w:i/>
      <w:iCs/>
      <w:color w:val="0F4761" w:themeColor="accent1" w:themeShade="BF"/>
    </w:rPr>
  </w:style>
  <w:style w:type="paragraph" w:styleId="IntensivesZitat">
    <w:name w:val="Intense Quote"/>
    <w:basedOn w:val="Standard"/>
    <w:next w:val="Standard"/>
    <w:link w:val="IntensivesZitatZchn"/>
    <w:uiPriority w:val="30"/>
    <w:qFormat/>
    <w:rsid w:val="00990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902D1"/>
    <w:rPr>
      <w:i/>
      <w:iCs/>
      <w:color w:val="0F4761" w:themeColor="accent1" w:themeShade="BF"/>
    </w:rPr>
  </w:style>
  <w:style w:type="character" w:styleId="IntensiverVerweis">
    <w:name w:val="Intense Reference"/>
    <w:basedOn w:val="Absatz-Standardschriftart"/>
    <w:uiPriority w:val="32"/>
    <w:qFormat/>
    <w:rsid w:val="009902D1"/>
    <w:rPr>
      <w:b/>
      <w:bCs/>
      <w:smallCaps/>
      <w:color w:val="0F4761" w:themeColor="accent1" w:themeShade="BF"/>
      <w:spacing w:val="5"/>
    </w:rPr>
  </w:style>
  <w:style w:type="table" w:styleId="Tabellenraster">
    <w:name w:val="Table Grid"/>
    <w:basedOn w:val="NormaleTabelle"/>
    <w:uiPriority w:val="39"/>
    <w:rsid w:val="00990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616</Words>
  <Characters>3886</Characters>
  <Application>Microsoft Office Word</Application>
  <DocSecurity>0</DocSecurity>
  <Lines>32</Lines>
  <Paragraphs>8</Paragraphs>
  <ScaleCrop>false</ScaleCrop>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Ganzmann</dc:creator>
  <cp:keywords/>
  <dc:description/>
  <cp:lastModifiedBy>Natalie Hölscher</cp:lastModifiedBy>
  <cp:revision>3</cp:revision>
  <dcterms:created xsi:type="dcterms:W3CDTF">2026-07-13T16:29:00Z</dcterms:created>
  <dcterms:modified xsi:type="dcterms:W3CDTF">2026-07-13T16:29:00Z</dcterms:modified>
</cp:coreProperties>
</file>