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211E4F"/>
          <w:sz w:val="32"/>
          <w:szCs w:val="32"/>
        </w:rPr>
        <w:t xml:space="preserve">Checkliste: Der Prozess Ihrer Beratung in 4 Schritten</w:t>
      </w:r>
    </w:p>
    <w:p>
      <w:r>
        <w:rPr>
          <w:rFonts w:ascii="Arial" w:cs="Arial" w:eastAsia="Arial" w:hAnsi="Arial"/>
          <w:color w:val="6B7A90"/>
          <w:sz w:val="20"/>
          <w:szCs w:val="20"/>
        </w:rPr>
        <w:t xml:space="preserve">Arbeitshilfe für die Schwerbehindertenvertretung</w:t>
      </w:r>
    </w:p>
    <w:p>
      <w:pPr>
        <w:pBdr>
          <w:bottom w:val="single" w:color="0094A1" w:sz="16" w:space="2"/>
        </w:pBdr>
        <w:spacing w:after="0" w:before="100"/>
      </w:pPr>
      <w:r>
        <w:rPr>
          <w:sz w:val="2"/>
          <w:szCs w:val="2"/>
        </w:rPr>
        <w:t xml:space="preserve"/>
      </w:r>
    </w:p>
    <w:p>
      <w:pPr>
        <w:spacing w:after="240"/>
      </w:pPr>
    </w:p>
    <w:p>
      <w:pPr>
        <w:spacing w:after="2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Nehmen Sie diese Checkliste mit ins Gespräch oder gehen Sie sie direkt danach durch. So sehen Sie auf einen Blick, an welchem Punkt Sie stehen und was noch offen ist.</w:t>
      </w:r>
    </w:p>
    <w:tbl>
      <w:tblPr>
        <w:tblW w:type="dxa" w:w="9638"/>
        <w:tblBorders>
          <w:top w:val="single" w:color="CFCDDE" w:sz="4"/>
          <w:left w:val="single" w:color="CFCDDE" w:sz="4"/>
          <w:bottom w:val="single" w:color="CFCDDE" w:sz="4"/>
          <w:right w:val="single" w:color="CFCDDE" w:sz="4"/>
          <w:insideH w:val="single" w:color="CFCDDE" w:sz="4"/>
          <w:insideV w:val="single" w:color="CFCDDE" w:sz="4"/>
        </w:tblBorders>
      </w:tblPr>
      <w:tblGrid>
        <w:gridCol w:w="750"/>
        <w:gridCol w:w="7288"/>
        <w:gridCol w:w="1600"/>
      </w:tblGrid>
      <w:tr>
        <w:trPr>
          <w:tblHeader/>
        </w:trPr>
        <w:tc>
          <w:tcPr>
            <w:tcW w:type="dxa" w:w="750"/>
            <w:shd w:fill="E9E8F0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211E4F"/>
                <w:sz w:val="20"/>
                <w:szCs w:val="20"/>
              </w:rPr>
              <w:t xml:space="preserve">Nr.</w:t>
            </w:r>
          </w:p>
        </w:tc>
        <w:tc>
          <w:tcPr>
            <w:tcW w:type="dxa" w:w="7288"/>
            <w:shd w:fill="E9E8F0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211E4F"/>
                <w:sz w:val="20"/>
                <w:szCs w:val="20"/>
              </w:rPr>
              <w:t xml:space="preserve">Schritt</w:t>
            </w:r>
          </w:p>
        </w:tc>
        <w:tc>
          <w:tcPr>
            <w:tcW w:type="dxa" w:w="1600"/>
            <w:shd w:fill="E9E8F0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211E4F"/>
                <w:sz w:val="20"/>
                <w:szCs w:val="20"/>
              </w:rPr>
              <w:t xml:space="preserve">Erledigt?</w:t>
            </w:r>
          </w:p>
        </w:tc>
      </w:tr>
      <w:tr>
        <w:tc>
          <w:tcPr>
            <w:tcW w:type="dxa" w:w="750"/>
            <w:shd w:fill="D9EFF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94A1"/>
                <w:sz w:val="22"/>
                <w:szCs w:val="22"/>
              </w:rPr>
              <w:t xml:space="preserve">1</w:t>
            </w:r>
          </w:p>
        </w:tc>
        <w:tc>
          <w:tcPr>
            <w:tcW w:type="dxa" w:w="7288"/>
            <w:shd w:fill="D9EFF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Das Problem erkennen</w:t>
            </w:r>
          </w:p>
        </w:tc>
        <w:tc>
          <w:tcPr>
            <w:tcW w:type="dxa" w:w="1600"/>
            <w:shd w:fill="D9EFF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type="dxa" w:w="750"/>
            <w:shd w:fill="FFFF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94A1"/>
                <w:sz w:val="22"/>
                <w:szCs w:val="22"/>
              </w:rPr>
              <w:t xml:space="preserve">2</w:t>
            </w:r>
          </w:p>
        </w:tc>
        <w:tc>
          <w:tcPr>
            <w:tcW w:type="dxa" w:w="7288"/>
            <w:shd w:fill="FFFF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Erwartungen des Ratsuchenden klären, Wunsch und Realität miteinander in Einklang bringen</w:t>
            </w:r>
          </w:p>
        </w:tc>
        <w:tc>
          <w:tcPr>
            <w:tcW w:type="dxa" w:w="1600"/>
            <w:shd w:fill="FFFF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type="dxa" w:w="750"/>
            <w:shd w:fill="D9EFF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94A1"/>
                <w:sz w:val="22"/>
                <w:szCs w:val="22"/>
              </w:rPr>
              <w:t xml:space="preserve">3</w:t>
            </w:r>
          </w:p>
        </w:tc>
        <w:tc>
          <w:tcPr>
            <w:tcW w:type="dxa" w:w="7288"/>
            <w:shd w:fill="D9EFF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Lösungen aufzeigen und den Kollegen bei der Entscheidungsfindung unterstützen</w:t>
            </w:r>
          </w:p>
        </w:tc>
        <w:tc>
          <w:tcPr>
            <w:tcW w:type="dxa" w:w="1600"/>
            <w:shd w:fill="D9EFF1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type="dxa" w:w="750"/>
            <w:shd w:fill="FFFF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94A1"/>
                <w:sz w:val="22"/>
                <w:szCs w:val="22"/>
              </w:rPr>
              <w:t xml:space="preserve">4</w:t>
            </w:r>
          </w:p>
        </w:tc>
        <w:tc>
          <w:tcPr>
            <w:tcW w:type="dxa" w:w="7288"/>
            <w:shd w:fill="FFFF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Die Umsetzung der gewählten Lösung planen und eventuell Unterstützung bei der Umsetzung leisten</w:t>
            </w:r>
          </w:p>
        </w:tc>
        <w:tc>
          <w:tcPr>
            <w:tcW w:type="dxa" w:w="1600"/>
            <w:shd w:fill="FFFF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☐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20"/>
        <w:gridCol w:w="9518"/>
      </w:tblGrid>
      <w:tr>
        <w:tc>
          <w:tcPr>
            <w:tcW w:type="dxa" w:w="120"/>
            <w:shd w:fill="EEB300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9518"/>
            <w:shd w:fill="FCF2D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211E4F"/>
                <w:sz w:val="21"/>
                <w:szCs w:val="21"/>
              </w:rPr>
              <w:t xml:space="preserve">Denken Sie daran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211E4F"/>
                <w:sz w:val="20"/>
                <w:szCs w:val="20"/>
              </w:rPr>
              <w:t xml:space="preserve">Ab Schritt 2 übernehmen Sie die Gesprächsführung – aber erst, wenn Sie sicher sind, dass Sie das Problem gemeinsam erfasst haben.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211E4F"/>
                <w:sz w:val="20"/>
                <w:szCs w:val="20"/>
              </w:rPr>
              <w:t xml:space="preserve">Die Entscheidung trifft Ihr Kollege auch nach Schritt 4 selbst. Das Problem bleibt seine Sache.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134" w:bottom="1000" w:left="1134" w:header="560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CDDE" w:sz="4" w:space="8"/>
      </w:pBdr>
      <w:tabs>
        <w:tab w:val="right" w:pos="9638"/>
      </w:tabs>
    </w:pPr>
    <w:r>
      <w:rPr>
        <w:rFonts w:ascii="Arial" w:cs="Arial" w:eastAsia="Arial" w:hAnsi="Arial"/>
        <w:color w:val="6B7A90"/>
        <w:sz w:val="14"/>
        <w:szCs w:val="14"/>
      </w:rPr>
      <w:t xml:space="preserve">© Schwerbehinderten Kompass – ADIUVA, ein Unternehmensbereich des VNR Verlags für die Deutsche Wirtschaft AG	</w:t>
    </w:r>
    <w:r>
      <w:rPr>
        <w:rFonts w:ascii="Arial" w:cs="Arial" w:eastAsia="Arial" w:hAnsi="Arial"/>
        <w:color w:val="6B7A9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</w:pPr>
    <w:r>
      <w:drawing>
        <wp:inline distT="0" distB="0" distL="0" distR="0">
          <wp:extent cx="1571625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909ca7ff2af8e63010acefa1676d6316cc0d04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2026-08-05T09:05:41.046Z</dcterms:created>
  <dcterms:modified xsi:type="dcterms:W3CDTF">2026-08-05T09:05:41.046Z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