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11E4F"/>
          <w:sz w:val="32"/>
          <w:szCs w:val="32"/>
        </w:rPr>
        <w:t xml:space="preserve">Gesprächsleitfaden Erstberatung</w:t>
      </w:r>
    </w:p>
    <w:p>
      <w:r>
        <w:rPr>
          <w:rFonts w:ascii="Arial" w:cs="Arial" w:eastAsia="Arial" w:hAnsi="Arial"/>
          <w:color w:val="6B7A90"/>
          <w:sz w:val="20"/>
          <w:szCs w:val="20"/>
        </w:rPr>
        <w:t xml:space="preserve">Legen Sie diesen Bogen vor dem Gespräch neben sich</w:t>
      </w:r>
    </w:p>
    <w:p>
      <w:pPr>
        <w:pBdr>
          <w:bottom w:val="single" w:color="0094A1" w:sz="16" w:space="2"/>
        </w:pBdr>
        <w:spacing w:after="0" w:before="100"/>
      </w:pPr>
      <w:r>
        <w:rPr>
          <w:sz w:val="2"/>
          <w:szCs w:val="2"/>
        </w:rPr>
        <w:t xml:space="preserve"/>
      </w:r>
    </w:p>
    <w:p>
      <w:pPr>
        <w:spacing w:after="240"/>
      </w:pPr>
    </w:p>
    <w:p>
      <w:pPr>
        <w:spacing w:after="140" w:before="320"/>
      </w:pPr>
      <w:r>
        <w:rPr>
          <w:rFonts w:ascii="Arial" w:cs="Arial" w:eastAsia="Arial" w:hAnsi="Arial"/>
          <w:b/>
          <w:bCs/>
          <w:color w:val="211E4F"/>
          <w:sz w:val="24"/>
          <w:szCs w:val="24"/>
        </w:rPr>
        <w:t xml:space="preserve">1 · Vor dem Gespräch: Termin und Zeitrahmen</w:t>
      </w:r>
    </w:p>
    <w:p>
      <w:pPr>
        <w:spacing w:after="160" w:before="0"/>
      </w:pPr>
      <w:r>
        <w:rPr>
          <w:rFonts w:ascii="Arial" w:cs="Arial" w:eastAsia="Arial" w:hAnsi="Arial"/>
          <w:b w:val="false"/>
          <w:bCs w:val="false"/>
          <w:i w:val="false"/>
          <w:iCs w:val="false"/>
          <w:color w:val="000000"/>
          <w:sz w:val="20"/>
          <w:szCs w:val="20"/>
        </w:rPr>
        <w:t xml:space="preserve">Planen Sie mindestens eine Stunde ein. Mehr braucht es zunächst nicht zu sein – begründen Sie die Beschränkung aber schon bei der Terminvergabe, damit Ihr Kollege sie nicht als Desinteresse versteht.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20"/>
        <w:gridCol w:w="9518"/>
      </w:tblGrid>
      <w:tr>
        <w:tc>
          <w:tcPr>
            <w:tcW w:type="dxa" w:w="120"/>
            <w:shd w:fill="0094A1" w:color="auto" w:val="clear"/>
            <w:tcMar>
              <w:top w:type="dxa" w:w="0"/>
              <w:left w:type="dxa" w:w="0"/>
              <w:bottom w:type="dxa" w:w="0"/>
              <w:right w:type="dxa" w:w="0"/>
            </w:tcMar>
          </w:tcPr>
          <w:p>
            <w:r>
              <w:rPr>
                <w:sz w:val="2"/>
                <w:szCs w:val="2"/>
              </w:rPr>
              <w:t xml:space="preserve"/>
            </w:r>
          </w:p>
        </w:tc>
        <w:tc>
          <w:tcPr>
            <w:tcW w:type="dxa" w:w="9518"/>
            <w:shd w:fill="D9EFF1" w:color="auto" w:val="clear"/>
            <w:tcMar>
              <w:top w:type="dxa" w:w="180"/>
              <w:left w:type="dxa" w:w="220"/>
              <w:bottom w:type="dxa" w:w="180"/>
              <w:right w:type="dxa" w:w="220"/>
            </w:tcMar>
          </w:tcPr>
          <w:p>
            <w:pPr>
              <w:spacing w:after="100"/>
            </w:pPr>
            <w:r>
              <w:rPr>
                <w:rFonts w:ascii="Arial" w:cs="Arial" w:eastAsia="Arial" w:hAnsi="Arial"/>
                <w:b/>
                <w:bCs/>
                <w:color w:val="211E4F"/>
                <w:sz w:val="21"/>
                <w:szCs w:val="21"/>
              </w:rPr>
              <w:t xml:space="preserve">Formulierungsbaustein</w:t>
            </w:r>
          </w:p>
          <w:p>
            <w:pPr>
              <w:spacing w:after="0"/>
            </w:pPr>
            <w:r>
              <w:rPr>
                <w:rFonts w:ascii="Arial" w:cs="Arial" w:eastAsia="Arial" w:hAnsi="Arial"/>
                <w:color w:val="211E4F"/>
                <w:sz w:val="20"/>
                <w:szCs w:val="20"/>
              </w:rPr>
              <w:t xml:space="preserve">„Wir setzen zunächst einmal eine Stunde an. Können Sie so viel Zeit erübrigen? Falls wir mehr benötigen, vereinbaren wir im Anschluss den nächsten Termin und haben zwischen den beiden Gesprächen ausreichend Zeit, das Ganze gedanklich zu sortieren."</w:t>
            </w:r>
          </w:p>
        </w:tc>
      </w:tr>
    </w:tbl>
    <w:p>
      <w:pPr>
        <w:spacing w:after="140" w:before="320"/>
      </w:pPr>
      <w:r>
        <w:rPr>
          <w:rFonts w:ascii="Arial" w:cs="Arial" w:eastAsia="Arial" w:hAnsi="Arial"/>
          <w:b/>
          <w:bCs/>
          <w:color w:val="211E4F"/>
          <w:sz w:val="24"/>
          <w:szCs w:val="24"/>
        </w:rPr>
        <w:t xml:space="preserve">2 · Im Gespräch: Die fünf Regeln des Zuhörens</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750"/>
        <w:gridCol w:w="8888"/>
      </w:tblGrid>
      <w:tr>
        <w:tc>
          <w:tcPr>
            <w:tcW w:type="dxa" w:w="750"/>
            <w:shd w:fill="D9EFF1" w:color="auto" w:val="clear"/>
            <w:tcMar>
              <w:top w:type="dxa" w:w="110"/>
              <w:left w:type="dxa" w:w="140"/>
              <w:bottom w:type="dxa" w:w="110"/>
              <w:right w:type="dxa" w:w="140"/>
            </w:tcMar>
            <w:vAlign w:val="center"/>
          </w:tcPr>
          <w:p>
            <w:pPr>
              <w:jc w:val="center"/>
            </w:pPr>
            <w:r>
              <w:rPr>
                <w:rFonts w:ascii="Arial" w:cs="Arial" w:eastAsia="Arial" w:hAnsi="Arial"/>
                <w:b/>
                <w:bCs/>
                <w:color w:val="0094A1"/>
                <w:sz w:val="22"/>
                <w:szCs w:val="22"/>
              </w:rPr>
              <w:t xml:space="preserve">1</w:t>
            </w:r>
          </w:p>
        </w:tc>
        <w:tc>
          <w:tcPr>
            <w:tcW w:type="dxa" w:w="8888"/>
            <w:shd w:fill="D9EFF1" w:color="auto" w:val="clear"/>
            <w:tcMar>
              <w:top w:type="dxa" w:w="110"/>
              <w:left w:type="dxa" w:w="140"/>
              <w:bottom w:type="dxa" w:w="110"/>
              <w:right w:type="dxa" w:w="140"/>
            </w:tcMar>
            <w:vAlign w:val="top"/>
          </w:tcPr>
          <w:p>
            <w:r>
              <w:rPr>
                <w:rFonts w:ascii="Arial" w:cs="Arial" w:eastAsia="Arial" w:hAnsi="Arial"/>
                <w:sz w:val="20"/>
                <w:szCs w:val="20"/>
              </w:rPr>
              <w:t xml:space="preserve">Gehen Sie ohne Druck in das Gespräch und machen Sie Ihren Kopf frei von allem anderen. Stellen Sie sich vorab auf das Thema ein, falls Sie es bereits kennen.</w:t>
            </w:r>
          </w:p>
        </w:tc>
      </w:tr>
      <w:tr>
        <w:tc>
          <w:tcPr>
            <w:tcW w:type="dxa" w:w="750"/>
            <w:shd w:fill="FFFFFF" w:color="auto" w:val="clear"/>
            <w:tcMar>
              <w:top w:type="dxa" w:w="110"/>
              <w:left w:type="dxa" w:w="140"/>
              <w:bottom w:type="dxa" w:w="110"/>
              <w:right w:type="dxa" w:w="140"/>
            </w:tcMar>
            <w:vAlign w:val="center"/>
          </w:tcPr>
          <w:p>
            <w:pPr>
              <w:jc w:val="center"/>
            </w:pPr>
            <w:r>
              <w:rPr>
                <w:rFonts w:ascii="Arial" w:cs="Arial" w:eastAsia="Arial" w:hAnsi="Arial"/>
                <w:b/>
                <w:bCs/>
                <w:color w:val="0094A1"/>
                <w:sz w:val="22"/>
                <w:szCs w:val="22"/>
              </w:rPr>
              <w:t xml:space="preserve">2</w:t>
            </w:r>
          </w:p>
        </w:tc>
        <w:tc>
          <w:tcPr>
            <w:tcW w:type="dxa" w:w="8888"/>
            <w:shd w:fill="FFFFFF" w:color="auto" w:val="clear"/>
            <w:tcMar>
              <w:top w:type="dxa" w:w="110"/>
              <w:left w:type="dxa" w:w="140"/>
              <w:bottom w:type="dxa" w:w="110"/>
              <w:right w:type="dxa" w:w="140"/>
            </w:tcMar>
            <w:vAlign w:val="top"/>
          </w:tcPr>
          <w:p>
            <w:r>
              <w:rPr>
                <w:rFonts w:ascii="Arial" w:cs="Arial" w:eastAsia="Arial" w:hAnsi="Arial"/>
                <w:sz w:val="20"/>
                <w:szCs w:val="20"/>
              </w:rPr>
              <w:t xml:space="preserve">Gehen Sie wie ein leeres Gefäß in das Gespräch und stellen Sie auf „Aufnahme" – ohne Vorbehalte.</w:t>
            </w:r>
          </w:p>
        </w:tc>
      </w:tr>
      <w:tr>
        <w:tc>
          <w:tcPr>
            <w:tcW w:type="dxa" w:w="750"/>
            <w:shd w:fill="D9EFF1" w:color="auto" w:val="clear"/>
            <w:tcMar>
              <w:top w:type="dxa" w:w="110"/>
              <w:left w:type="dxa" w:w="140"/>
              <w:bottom w:type="dxa" w:w="110"/>
              <w:right w:type="dxa" w:w="140"/>
            </w:tcMar>
            <w:vAlign w:val="center"/>
          </w:tcPr>
          <w:p>
            <w:pPr>
              <w:jc w:val="center"/>
            </w:pPr>
            <w:r>
              <w:rPr>
                <w:rFonts w:ascii="Arial" w:cs="Arial" w:eastAsia="Arial" w:hAnsi="Arial"/>
                <w:b/>
                <w:bCs/>
                <w:color w:val="0094A1"/>
                <w:sz w:val="22"/>
                <w:szCs w:val="22"/>
              </w:rPr>
              <w:t xml:space="preserve">3</w:t>
            </w:r>
          </w:p>
        </w:tc>
        <w:tc>
          <w:tcPr>
            <w:tcW w:type="dxa" w:w="8888"/>
            <w:shd w:fill="D9EFF1" w:color="auto" w:val="clear"/>
            <w:tcMar>
              <w:top w:type="dxa" w:w="110"/>
              <w:left w:type="dxa" w:w="140"/>
              <w:bottom w:type="dxa" w:w="110"/>
              <w:right w:type="dxa" w:w="140"/>
            </w:tcMar>
            <w:vAlign w:val="top"/>
          </w:tcPr>
          <w:p>
            <w:r>
              <w:rPr>
                <w:rFonts w:ascii="Arial" w:cs="Arial" w:eastAsia="Arial" w:hAnsi="Arial"/>
                <w:sz w:val="20"/>
                <w:szCs w:val="20"/>
              </w:rPr>
              <w:t xml:space="preserve">Wenden Sie sich dem Kollegen ganz zu und suchen Sie immer wieder Blickkontakt. Nicken signalisiert ihm, dass Sie bei der Sache sind.</w:t>
            </w:r>
          </w:p>
        </w:tc>
      </w:tr>
      <w:tr>
        <w:tc>
          <w:tcPr>
            <w:tcW w:type="dxa" w:w="750"/>
            <w:shd w:fill="FFFFFF" w:color="auto" w:val="clear"/>
            <w:tcMar>
              <w:top w:type="dxa" w:w="110"/>
              <w:left w:type="dxa" w:w="140"/>
              <w:bottom w:type="dxa" w:w="110"/>
              <w:right w:type="dxa" w:w="140"/>
            </w:tcMar>
            <w:vAlign w:val="center"/>
          </w:tcPr>
          <w:p>
            <w:pPr>
              <w:jc w:val="center"/>
            </w:pPr>
            <w:r>
              <w:rPr>
                <w:rFonts w:ascii="Arial" w:cs="Arial" w:eastAsia="Arial" w:hAnsi="Arial"/>
                <w:b/>
                <w:bCs/>
                <w:color w:val="0094A1"/>
                <w:sz w:val="22"/>
                <w:szCs w:val="22"/>
              </w:rPr>
              <w:t xml:space="preserve">4</w:t>
            </w:r>
          </w:p>
        </w:tc>
        <w:tc>
          <w:tcPr>
            <w:tcW w:type="dxa" w:w="8888"/>
            <w:shd w:fill="FFFFFF" w:color="auto" w:val="clear"/>
            <w:tcMar>
              <w:top w:type="dxa" w:w="110"/>
              <w:left w:type="dxa" w:w="140"/>
              <w:bottom w:type="dxa" w:w="110"/>
              <w:right w:type="dxa" w:w="140"/>
            </w:tcMar>
            <w:vAlign w:val="top"/>
          </w:tcPr>
          <w:p>
            <w:r>
              <w:rPr>
                <w:rFonts w:ascii="Arial" w:cs="Arial" w:eastAsia="Arial" w:hAnsi="Arial"/>
                <w:sz w:val="20"/>
                <w:szCs w:val="20"/>
              </w:rPr>
              <w:t xml:space="preserve">Seien Sie empathisch. Die emotionale Seite ist oft genauso wichtig wie die Faktenlage.</w:t>
            </w:r>
          </w:p>
        </w:tc>
      </w:tr>
      <w:tr>
        <w:tc>
          <w:tcPr>
            <w:tcW w:type="dxa" w:w="750"/>
            <w:shd w:fill="D9EFF1" w:color="auto" w:val="clear"/>
            <w:tcMar>
              <w:top w:type="dxa" w:w="110"/>
              <w:left w:type="dxa" w:w="140"/>
              <w:bottom w:type="dxa" w:w="110"/>
              <w:right w:type="dxa" w:w="140"/>
            </w:tcMar>
            <w:vAlign w:val="center"/>
          </w:tcPr>
          <w:p>
            <w:pPr>
              <w:jc w:val="center"/>
            </w:pPr>
            <w:r>
              <w:rPr>
                <w:rFonts w:ascii="Arial" w:cs="Arial" w:eastAsia="Arial" w:hAnsi="Arial"/>
                <w:b/>
                <w:bCs/>
                <w:color w:val="0094A1"/>
                <w:sz w:val="22"/>
                <w:szCs w:val="22"/>
              </w:rPr>
              <w:t xml:space="preserve">5</w:t>
            </w:r>
          </w:p>
        </w:tc>
        <w:tc>
          <w:tcPr>
            <w:tcW w:type="dxa" w:w="8888"/>
            <w:shd w:fill="D9EFF1" w:color="auto" w:val="clear"/>
            <w:tcMar>
              <w:top w:type="dxa" w:w="110"/>
              <w:left w:type="dxa" w:w="140"/>
              <w:bottom w:type="dxa" w:w="110"/>
              <w:right w:type="dxa" w:w="140"/>
            </w:tcMar>
            <w:vAlign w:val="top"/>
          </w:tcPr>
          <w:p>
            <w:r>
              <w:rPr>
                <w:rFonts w:ascii="Arial" w:cs="Arial" w:eastAsia="Arial" w:hAnsi="Arial"/>
                <w:sz w:val="20"/>
                <w:szCs w:val="20"/>
              </w:rPr>
              <w:t xml:space="preserve">Fassen Sie das Gesagte zusammen – alle wichtigen Informationen und alle Gefühle. So kann Ihr Kollege korrigieren, was falsch angekommen ist.</w:t>
            </w:r>
          </w:p>
        </w:tc>
      </w:tr>
    </w:tbl>
    <w:p>
      <w:pPr>
        <w:spacing w:after="20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20"/>
        <w:gridCol w:w="9518"/>
      </w:tblGrid>
      <w:tr>
        <w:tc>
          <w:tcPr>
            <w:tcW w:type="dxa" w:w="120"/>
            <w:shd w:fill="97C11F" w:color="auto" w:val="clear"/>
            <w:tcMar>
              <w:top w:type="dxa" w:w="0"/>
              <w:left w:type="dxa" w:w="0"/>
              <w:bottom w:type="dxa" w:w="0"/>
              <w:right w:type="dxa" w:w="0"/>
            </w:tcMar>
          </w:tcPr>
          <w:p>
            <w:r>
              <w:rPr>
                <w:sz w:val="2"/>
                <w:szCs w:val="2"/>
              </w:rPr>
              <w:t xml:space="preserve"/>
            </w:r>
          </w:p>
        </w:tc>
        <w:tc>
          <w:tcPr>
            <w:tcW w:type="dxa" w:w="9518"/>
            <w:shd w:fill="EDF5D8" w:color="auto" w:val="clear"/>
            <w:tcMar>
              <w:top w:type="dxa" w:w="180"/>
              <w:left w:type="dxa" w:w="220"/>
              <w:bottom w:type="dxa" w:w="180"/>
              <w:right w:type="dxa" w:w="220"/>
            </w:tcMar>
          </w:tcPr>
          <w:p>
            <w:pPr>
              <w:spacing w:after="100"/>
            </w:pPr>
            <w:r>
              <w:rPr>
                <w:rFonts w:ascii="Arial" w:cs="Arial" w:eastAsia="Arial" w:hAnsi="Arial"/>
                <w:b/>
                <w:bCs/>
                <w:color w:val="211E4F"/>
                <w:sz w:val="21"/>
                <w:szCs w:val="21"/>
              </w:rPr>
              <w:t xml:space="preserve">Aktives Zuhören</w:t>
            </w:r>
          </w:p>
          <w:p>
            <w:pPr>
              <w:spacing w:after="0"/>
            </w:pPr>
            <w:r>
              <w:rPr>
                <w:rFonts w:ascii="Arial" w:cs="Arial" w:eastAsia="Arial" w:hAnsi="Arial"/>
                <w:color w:val="211E4F"/>
                <w:sz w:val="20"/>
                <w:szCs w:val="20"/>
              </w:rPr>
              <w:t xml:space="preserve">Sagen Sie Ihrem Gegenüber auch verbal, was Sie verstanden haben: „Habe ich das richtig verstanden, dass du die Abmahnung vollkommen ungerechtfertigt findest, weil …" So kommen Sie schnell auf einen gemeinsamen Nenner.</w:t>
            </w:r>
          </w:p>
        </w:tc>
      </w:tr>
    </w:tbl>
    <w:p>
      <w:pPr>
        <w:spacing w:after="140" w:before="320"/>
      </w:pPr>
      <w:r>
        <w:rPr>
          <w:rFonts w:ascii="Arial" w:cs="Arial" w:eastAsia="Arial" w:hAnsi="Arial"/>
          <w:b/>
          <w:bCs/>
          <w:color w:val="211E4F"/>
          <w:sz w:val="24"/>
          <w:szCs w:val="24"/>
        </w:rPr>
        <w:t xml:space="preserve">3 · Die Klarstellung, die Sie nicht vergessen dürfen</w:t>
      </w:r>
    </w:p>
    <w:p>
      <w:pPr>
        <w:spacing w:after="160" w:before="0"/>
      </w:pPr>
      <w:r>
        <w:rPr>
          <w:rFonts w:ascii="Arial" w:cs="Arial" w:eastAsia="Arial" w:hAnsi="Arial"/>
          <w:b w:val="false"/>
          <w:bCs w:val="false"/>
          <w:i w:val="false"/>
          <w:iCs w:val="false"/>
          <w:color w:val="000000"/>
          <w:sz w:val="20"/>
          <w:szCs w:val="20"/>
        </w:rPr>
        <w:t xml:space="preserve">Machen Sie gleich zu Beginn deutlich, dass Sie beraten und unterstützen – aber nicht übernehmen. Das ist keine Härte, sondern der gesetzliche Auftrag: Die Schwerbehindertenvertretung steht beratend und helfend zur Seite (§ 178 Abs. 1 Satz 1 SGB IX).</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20"/>
        <w:gridCol w:w="9518"/>
      </w:tblGrid>
      <w:tr>
        <w:tc>
          <w:tcPr>
            <w:tcW w:type="dxa" w:w="120"/>
            <w:shd w:fill="0094A1" w:color="auto" w:val="clear"/>
            <w:tcMar>
              <w:top w:type="dxa" w:w="0"/>
              <w:left w:type="dxa" w:w="0"/>
              <w:bottom w:type="dxa" w:w="0"/>
              <w:right w:type="dxa" w:w="0"/>
            </w:tcMar>
          </w:tcPr>
          <w:p>
            <w:r>
              <w:rPr>
                <w:sz w:val="2"/>
                <w:szCs w:val="2"/>
              </w:rPr>
              <w:t xml:space="preserve"/>
            </w:r>
          </w:p>
        </w:tc>
        <w:tc>
          <w:tcPr>
            <w:tcW w:type="dxa" w:w="9518"/>
            <w:shd w:fill="D9EFF1" w:color="auto" w:val="clear"/>
            <w:tcMar>
              <w:top w:type="dxa" w:w="180"/>
              <w:left w:type="dxa" w:w="220"/>
              <w:bottom w:type="dxa" w:w="180"/>
              <w:right w:type="dxa" w:w="220"/>
            </w:tcMar>
          </w:tcPr>
          <w:p>
            <w:pPr>
              <w:spacing w:after="100"/>
            </w:pPr>
            <w:r>
              <w:rPr>
                <w:rFonts w:ascii="Arial" w:cs="Arial" w:eastAsia="Arial" w:hAnsi="Arial"/>
                <w:b/>
                <w:bCs/>
                <w:color w:val="211E4F"/>
                <w:sz w:val="21"/>
                <w:szCs w:val="21"/>
              </w:rPr>
              <w:t xml:space="preserve">Formulierungsbaustein</w:t>
            </w:r>
          </w:p>
          <w:p>
            <w:pPr>
              <w:spacing w:after="0"/>
            </w:pPr>
            <w:r>
              <w:rPr>
                <w:rFonts w:ascii="Arial" w:cs="Arial" w:eastAsia="Arial" w:hAnsi="Arial"/>
                <w:color w:val="211E4F"/>
                <w:sz w:val="20"/>
                <w:szCs w:val="20"/>
              </w:rPr>
              <w:t xml:space="preserve">„Ich schaue mir das mit Ihnen zusammen an, kläre die rechtliche Lage und zeige Ihnen die Möglichkeiten mit allen Vor- und Nachteilen. Entscheiden müssen Sie am Ende aber selbst – das kann und darf ich Ihnen nicht abnehmen."</w:t>
            </w:r>
          </w:p>
        </w:tc>
      </w:tr>
    </w:tbl>
    <w:p>
      <w:pPr>
        <w:pageBreakBefore/>
      </w:pPr>
    </w:p>
    <w:p>
      <w:pPr>
        <w:spacing w:after="140" w:before="320"/>
      </w:pPr>
      <w:r>
        <w:rPr>
          <w:rFonts w:ascii="Arial" w:cs="Arial" w:eastAsia="Arial" w:hAnsi="Arial"/>
          <w:b/>
          <w:bCs/>
          <w:color w:val="211E4F"/>
          <w:sz w:val="24"/>
          <w:szCs w:val="24"/>
        </w:rPr>
        <w:t xml:space="preserve">4 · Ihre Notizen zum Gespräch</w:t>
      </w:r>
    </w:p>
    <w:p>
      <w:pPr>
        <w:spacing w:after="200" w:before="0"/>
      </w:pPr>
      <w:r>
        <w:rPr>
          <w:rFonts w:ascii="Arial" w:cs="Arial" w:eastAsia="Arial" w:hAnsi="Arial"/>
          <w:b w:val="false"/>
          <w:bCs w:val="false"/>
          <w:i/>
          <w:iCs/>
          <w:color w:val="6B7A90"/>
          <w:sz w:val="20"/>
          <w:szCs w:val="20"/>
        </w:rPr>
        <w:t xml:space="preserve">Bewahren Sie ausgefüllte Bögen verschlossen auf – Gesprächsprotokolle und Notizen dürfen nicht offen herumliegen.</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3200"/>
        <w:gridCol w:w="6438"/>
      </w:tblGrid>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Anliegen in einem Satz</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Was ist bereits geschehen?</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Was erwartet der Kollege von mir?</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Was davon ist realistisch?</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Vereinbarte nächste Schritte – wer macht was bis wann?</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Darf ich Details anonymisiert nach außen tragen? Wenn ja: an wen?</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r>
        <w:tc>
          <w:tcPr>
            <w:tcW w:type="dxa" w:w="32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Nächster Termin</w:t>
            </w:r>
          </w:p>
        </w:tc>
        <w:tc>
          <w:tcPr>
            <w:tcW w:type="dxa" w:w="6438"/>
            <w:tcMar>
              <w:top w:type="dxa" w:w="110"/>
              <w:left w:type="dxa" w:w="140"/>
              <w:bottom w:type="dxa" w:w="110"/>
              <w:right w:type="dxa" w:w="140"/>
            </w:tcMar>
            <w:vAlign w:val="top"/>
          </w:tcPr>
          <w:p>
            <w:pPr>
              <w:spacing w:after="200" w:before="200"/>
            </w:pPr>
            <w:r>
              <w:rPr>
                <w:rFonts w:ascii="Arial" w:cs="Arial" w:eastAsia="Arial" w:hAnsi="Arial"/>
                <w:sz w:val="20"/>
                <w:szCs w:val="20"/>
              </w:rPr>
              <w:t xml:space="preserve"/>
            </w:r>
          </w:p>
        </w:tc>
      </w:tr>
    </w:tbl>
    <w:p>
      <w:pPr>
        <w:spacing w:after="140" w:before="320"/>
      </w:pPr>
      <w:r>
        <w:rPr>
          <w:rFonts w:ascii="Arial" w:cs="Arial" w:eastAsia="Arial" w:hAnsi="Arial"/>
          <w:b/>
          <w:bCs/>
          <w:color w:val="211E4F"/>
          <w:sz w:val="24"/>
          <w:szCs w:val="24"/>
        </w:rPr>
        <w:t xml:space="preserve">5 · Nach dem Gespräch: kurz gegenprüfen</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8038"/>
        <w:gridCol w:w="1600"/>
      </w:tblGrid>
      <w:tr>
        <w:tc>
          <w:tcPr>
            <w:tcW w:type="dxa" w:w="8038"/>
            <w:shd w:fill="E9E8F0" w:color="auto" w:val="clear"/>
            <w:tcMar>
              <w:top w:type="dxa" w:w="110"/>
              <w:left w:type="dxa" w:w="140"/>
              <w:bottom w:type="dxa" w:w="110"/>
              <w:right w:type="dxa" w:w="140"/>
            </w:tcMar>
            <w:vAlign w:val="center"/>
          </w:tcPr>
          <w:p>
            <w:r>
              <w:rPr>
                <w:rFonts w:ascii="Arial" w:cs="Arial" w:eastAsia="Arial" w:hAnsi="Arial"/>
                <w:sz w:val="20"/>
                <w:szCs w:val="20"/>
              </w:rPr>
              <w:t xml:space="preserve">Habe ich zusammengefasst und rückversichert, dass ich alles richtig verstanden habe?</w:t>
            </w:r>
          </w:p>
        </w:tc>
        <w:tc>
          <w:tcPr>
            <w:tcW w:type="dxa" w:w="1600"/>
            <w:shd w:fill="E9E8F0"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Habe ich alle rechtlichen und faktischen Möglichkeiten mit Risiken sowie Vor- und Nachteilen dargestellt?</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E9E8F0" w:color="auto" w:val="clear"/>
            <w:tcMar>
              <w:top w:type="dxa" w:w="110"/>
              <w:left w:type="dxa" w:w="140"/>
              <w:bottom w:type="dxa" w:w="110"/>
              <w:right w:type="dxa" w:w="140"/>
            </w:tcMar>
            <w:vAlign w:val="center"/>
          </w:tcPr>
          <w:p>
            <w:r>
              <w:rPr>
                <w:rFonts w:ascii="Arial" w:cs="Arial" w:eastAsia="Arial" w:hAnsi="Arial"/>
                <w:sz w:val="20"/>
                <w:szCs w:val="20"/>
              </w:rPr>
              <w:t xml:space="preserve">Habe ich deutlich gemacht, wie realistisch die Wunschvorstellungen sind?</w:t>
            </w:r>
          </w:p>
        </w:tc>
        <w:tc>
          <w:tcPr>
            <w:tcW w:type="dxa" w:w="1600"/>
            <w:shd w:fill="E9E8F0"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Habe ich keine Hoffnung geweckt, die ich nicht einlösen kann?</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E9E8F0" w:color="auto" w:val="clear"/>
            <w:tcMar>
              <w:top w:type="dxa" w:w="110"/>
              <w:left w:type="dxa" w:w="140"/>
              <w:bottom w:type="dxa" w:w="110"/>
              <w:right w:type="dxa" w:w="140"/>
            </w:tcMar>
            <w:vAlign w:val="center"/>
          </w:tcPr>
          <w:p>
            <w:r>
              <w:rPr>
                <w:rFonts w:ascii="Arial" w:cs="Arial" w:eastAsia="Arial" w:hAnsi="Arial"/>
                <w:sz w:val="20"/>
                <w:szCs w:val="20"/>
              </w:rPr>
              <w:t xml:space="preserve">Steht die Entscheidung weiterhin beim Kollegen?</w:t>
            </w:r>
          </w:p>
        </w:tc>
        <w:tc>
          <w:tcPr>
            <w:tcW w:type="dxa" w:w="1600"/>
            <w:shd w:fill="E9E8F0"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Ist ein Folgetermin vereinbart, statt alles in einem Gespräch zu erzwingen?</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bl>
    <w:sectPr>
      <w:headerReference w:type="default" r:id="rId7"/>
      <w:footerReference w:type="default" r:id="rId8"/>
      <w:pgSz w:w="11906" w:h="16838" w:orient="portrait"/>
      <w:pgMar w:top="1000" w:right="1134" w:bottom="1000" w:left="1134"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DDE" w:sz="4" w:space="8"/>
      </w:pBdr>
      <w:tabs>
        <w:tab w:val="right" w:pos="9638"/>
      </w:tabs>
    </w:pPr>
    <w:r>
      <w:rPr>
        <w:rFonts w:ascii="Arial" w:cs="Arial" w:eastAsia="Arial" w:hAnsi="Arial"/>
        <w:color w:val="6B7A90"/>
        <w:sz w:val="14"/>
        <w:szCs w:val="14"/>
      </w:rPr>
      <w:t xml:space="preserve">© Schwerbehinderten Kompass – ADIUVA, ein Unternehmensbereich des VNR Verlags für die Deutsche Wirtschaft AG	</w:t>
    </w:r>
    <w:r>
      <w:rPr>
        <w:rFonts w:ascii="Arial" w:cs="Arial" w:eastAsia="Arial" w:hAnsi="Arial"/>
        <w:color w:val="6B7A90"/>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drawing>
        <wp:inline distT="0" distB="0" distL="0" distR="0">
          <wp:extent cx="1571625"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3143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9ca7ff2af8e63010acefa1676d6316cc0d04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2026-08-05T09:05:41.067Z</dcterms:created>
  <dcterms:modified xsi:type="dcterms:W3CDTF">2026-08-05T09:05:41.067Z</dcterms:modified>
</cp:coreProperties>
</file>

<file path=docProps/custom.xml><?xml version="1.0" encoding="utf-8"?>
<Properties xmlns="http://schemas.openxmlformats.org/officeDocument/2006/custom-properties" xmlns:vt="http://schemas.openxmlformats.org/officeDocument/2006/docPropsVTypes"/>
</file>