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211E4F"/>
          <w:sz w:val="32"/>
          <w:szCs w:val="32"/>
        </w:rPr>
        <w:t xml:space="preserve">Gesprächsprotokoll: Konflikt mit dem Betriebs- oder Personalrat</w:t>
      </w:r>
    </w:p>
    <w:p>
      <w:r>
        <w:rPr>
          <w:rFonts w:ascii="Arial" w:cs="Arial" w:eastAsia="Arial" w:hAnsi="Arial"/>
          <w:color w:val="6E6C85"/>
          <w:sz w:val="20"/>
          <w:szCs w:val="20"/>
        </w:rPr>
        <w:t xml:space="preserve">Dokumentieren Sie jeden Schritt – schriftlich und zeitnah</w:t>
      </w:r>
    </w:p>
    <w:p>
      <w:pPr>
        <w:pBdr>
          <w:bottom w:val="single" w:color="0094A1" w:sz="16" w:space="2"/>
        </w:pBdr>
        <w:spacing w:after="0" w:before="100"/>
      </w:pPr>
      <w:r>
        <w:rPr>
          <w:sz w:val="2"/>
          <w:szCs w:val="2"/>
        </w:rPr>
        <w:t xml:space="preserve"/>
      </w:r>
    </w:p>
    <w:p>
      <w:pPr>
        <w:spacing w:after="240"/>
      </w:pPr>
    </w:p>
    <w:p>
      <w:pPr>
        <w:spacing w:after="240" w:before="0"/>
      </w:pPr>
      <w:r>
        <w:rPr>
          <w:rFonts w:ascii="Arial" w:cs="Arial" w:eastAsia="Arial" w:hAnsi="Arial"/>
          <w:b w:val="false"/>
          <w:bCs w:val="false"/>
          <w:i w:val="false"/>
          <w:iCs w:val="false"/>
          <w:color w:val="000000"/>
          <w:sz w:val="20"/>
          <w:szCs w:val="20"/>
        </w:rPr>
        <w:t xml:space="preserve">Dokumentieren Sie auf alle Fälle sämtliche Ansätze und Ergebnisse, damit Sie gegebenenfalls vor Gericht darauf zurückgreifen können. Wichtig ist die Dokumentation auch, damit Sie ein vermeintliches Fehlverhalten Ihrer Gesprächspartner belegen können. Füllen Sie den Bogen möglichst noch am selben Tag aus.</w:t>
      </w:r>
    </w:p>
    <w:p>
      <w:pPr>
        <w:spacing w:after="140" w:before="320"/>
      </w:pPr>
      <w:r>
        <w:rPr>
          <w:rFonts w:ascii="Arial" w:cs="Arial" w:eastAsia="Arial" w:hAnsi="Arial"/>
          <w:b/>
          <w:bCs/>
          <w:color w:val="211E4F"/>
          <w:sz w:val="24"/>
          <w:szCs w:val="24"/>
        </w:rPr>
        <w:t xml:space="preserve">1 · Rahmen</w:t>
      </w:r>
    </w:p>
    <w:tbl>
      <w:tblPr>
        <w:tblW w:type="dxa" w:w="9638"/>
        <w:tblBorders>
          <w:top w:val="single" w:color="CFCDDE" w:sz="4"/>
          <w:left w:val="single" w:color="CFCDDE" w:sz="4"/>
          <w:bottom w:val="single" w:color="CFCDDE" w:sz="4"/>
          <w:right w:val="single" w:color="CFCDDE" w:sz="4"/>
          <w:insideH w:val="single" w:color="CFCDDE" w:sz="4"/>
          <w:insideV w:val="single" w:color="CFCDDE" w:sz="4"/>
        </w:tblBorders>
      </w:tblPr>
      <w:tblGrid>
        <w:gridCol w:w="3000"/>
        <w:gridCol w:w="6638"/>
      </w:tblGrid>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Datum und Uhrzeit</w:t>
            </w:r>
          </w:p>
        </w:tc>
        <w:tc>
          <w:tcPr>
            <w:tcW w:type="dxa" w:w="6638"/>
            <w:tcMar>
              <w:top w:type="dxa" w:w="110"/>
              <w:left w:type="dxa" w:w="140"/>
              <w:bottom w:type="dxa" w:w="110"/>
              <w:right w:type="dxa" w:w="140"/>
            </w:tcMar>
            <w:vAlign w:val="top"/>
          </w:tcPr>
          <w:p>
            <w:pPr>
              <w:spacing w:after="150" w:before="150"/>
            </w:pPr>
            <w:r>
              <w:rPr>
                <w:rFonts w:ascii="Arial" w:cs="Arial" w:eastAsia="Arial" w:hAnsi="Arial"/>
                <w:sz w:val="20"/>
                <w:szCs w:val="20"/>
              </w:rPr>
              <w:t xml:space="preserve"/>
            </w:r>
          </w:p>
        </w:tc>
      </w:tr>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Beteiligte</w:t>
            </w:r>
          </w:p>
        </w:tc>
        <w:tc>
          <w:tcPr>
            <w:tcW w:type="dxa" w:w="6638"/>
            <w:tcMar>
              <w:top w:type="dxa" w:w="110"/>
              <w:left w:type="dxa" w:w="140"/>
              <w:bottom w:type="dxa" w:w="110"/>
              <w:right w:type="dxa" w:w="140"/>
            </w:tcMar>
            <w:vAlign w:val="top"/>
          </w:tcPr>
          <w:p>
            <w:pPr>
              <w:spacing w:after="150" w:before="150"/>
            </w:pPr>
            <w:r>
              <w:rPr>
                <w:rFonts w:ascii="Arial" w:cs="Arial" w:eastAsia="Arial" w:hAnsi="Arial"/>
                <w:sz w:val="20"/>
                <w:szCs w:val="20"/>
              </w:rPr>
              <w:t xml:space="preserve"/>
            </w:r>
          </w:p>
        </w:tc>
      </w:tr>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Anlass</w:t>
            </w:r>
          </w:p>
        </w:tc>
        <w:tc>
          <w:tcPr>
            <w:tcW w:type="dxa" w:w="6638"/>
            <w:tcMar>
              <w:top w:type="dxa" w:w="110"/>
              <w:left w:type="dxa" w:w="140"/>
              <w:bottom w:type="dxa" w:w="110"/>
              <w:right w:type="dxa" w:w="140"/>
            </w:tcMar>
            <w:vAlign w:val="top"/>
          </w:tcPr>
          <w:p>
            <w:pPr>
              <w:spacing w:after="150" w:before="150"/>
            </w:pPr>
            <w:r>
              <w:rPr>
                <w:rFonts w:ascii="Arial" w:cs="Arial" w:eastAsia="Arial" w:hAnsi="Arial"/>
                <w:sz w:val="20"/>
                <w:szCs w:val="20"/>
              </w:rPr>
              <w:t xml:space="preserve"/>
            </w:r>
          </w:p>
        </w:tc>
      </w:tr>
    </w:tbl>
    <w:p>
      <w:pPr>
        <w:spacing w:after="140" w:before="320"/>
      </w:pPr>
      <w:r>
        <w:rPr>
          <w:rFonts w:ascii="Arial" w:cs="Arial" w:eastAsia="Arial" w:hAnsi="Arial"/>
          <w:b/>
          <w:bCs/>
          <w:color w:val="211E4F"/>
          <w:sz w:val="24"/>
          <w:szCs w:val="24"/>
        </w:rPr>
        <w:t xml:space="preserve">2 · Was ist vorgefallen?</w:t>
      </w:r>
    </w:p>
    <w:tbl>
      <w:tblPr>
        <w:tblW w:type="dxa" w:w="9638"/>
        <w:tblBorders>
          <w:top w:val="single" w:color="CFCDDE" w:sz="4"/>
          <w:left w:val="single" w:color="CFCDDE" w:sz="4"/>
          <w:bottom w:val="single" w:color="CFCDDE" w:sz="4"/>
          <w:right w:val="single" w:color="CFCDDE" w:sz="4"/>
          <w:insideH w:val="single" w:color="CFCDDE" w:sz="4"/>
          <w:insideV w:val="single" w:color="CFCDDE" w:sz="4"/>
        </w:tblBorders>
      </w:tblPr>
      <w:tblGrid>
        <w:gridCol w:w="3000"/>
        <w:gridCol w:w="6638"/>
      </w:tblGrid>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Sachverhalt in eigenen Worten</w:t>
            </w:r>
          </w:p>
        </w:tc>
        <w:tc>
          <w:tcPr>
            <w:tcW w:type="dxa" w:w="6638"/>
            <w:tcMar>
              <w:top w:type="dxa" w:w="110"/>
              <w:left w:type="dxa" w:w="140"/>
              <w:bottom w:type="dxa" w:w="110"/>
              <w:right w:type="dxa" w:w="140"/>
            </w:tcMar>
            <w:vAlign w:val="top"/>
          </w:tcPr>
          <w:p>
            <w:pPr>
              <w:spacing w:after="220" w:before="220"/>
            </w:pPr>
            <w:r>
              <w:rPr>
                <w:rFonts w:ascii="Arial" w:cs="Arial" w:eastAsia="Arial" w:hAnsi="Arial"/>
                <w:sz w:val="20"/>
                <w:szCs w:val="20"/>
              </w:rPr>
              <w:t xml:space="preserve"/>
            </w:r>
          </w:p>
        </w:tc>
      </w:tr>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Wörtliche Äußerungen, die belegbar sein sollen</w:t>
            </w:r>
          </w:p>
        </w:tc>
        <w:tc>
          <w:tcPr>
            <w:tcW w:type="dxa" w:w="6638"/>
            <w:tcMar>
              <w:top w:type="dxa" w:w="110"/>
              <w:left w:type="dxa" w:w="140"/>
              <w:bottom w:type="dxa" w:w="110"/>
              <w:right w:type="dxa" w:w="140"/>
            </w:tcMar>
            <w:vAlign w:val="top"/>
          </w:tcPr>
          <w:p>
            <w:pPr>
              <w:spacing w:after="220" w:before="220"/>
            </w:pPr>
            <w:r>
              <w:rPr>
                <w:rFonts w:ascii="Arial" w:cs="Arial" w:eastAsia="Arial" w:hAnsi="Arial"/>
                <w:sz w:val="20"/>
                <w:szCs w:val="20"/>
              </w:rPr>
              <w:t xml:space="preserve"/>
            </w:r>
          </w:p>
        </w:tc>
      </w:tr>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Welches Recht der SBV ist berührt?</w:t>
            </w:r>
          </w:p>
        </w:tc>
        <w:tc>
          <w:tcPr>
            <w:tcW w:type="dxa" w:w="6638"/>
            <w:tcMar>
              <w:top w:type="dxa" w:w="110"/>
              <w:left w:type="dxa" w:w="140"/>
              <w:bottom w:type="dxa" w:w="110"/>
              <w:right w:type="dxa" w:w="140"/>
            </w:tcMar>
            <w:vAlign w:val="top"/>
          </w:tcPr>
          <w:p>
            <w:pPr>
              <w:spacing w:after="220" w:before="220"/>
            </w:pPr>
            <w:r>
              <w:rPr>
                <w:rFonts w:ascii="Arial" w:cs="Arial" w:eastAsia="Arial" w:hAnsi="Arial"/>
                <w:sz w:val="20"/>
                <w:szCs w:val="20"/>
              </w:rPr>
              <w:t xml:space="preserve"/>
            </w:r>
          </w:p>
        </w:tc>
      </w:tr>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Ist das ein Einzelfall oder wiederholt es sich?</w:t>
            </w:r>
          </w:p>
        </w:tc>
        <w:tc>
          <w:tcPr>
            <w:tcW w:type="dxa" w:w="6638"/>
            <w:tcMar>
              <w:top w:type="dxa" w:w="110"/>
              <w:left w:type="dxa" w:w="140"/>
              <w:bottom w:type="dxa" w:w="110"/>
              <w:right w:type="dxa" w:w="140"/>
            </w:tcMar>
            <w:vAlign w:val="top"/>
          </w:tcPr>
          <w:p>
            <w:pPr>
              <w:spacing w:after="220" w:before="220"/>
            </w:pPr>
            <w:r>
              <w:rPr>
                <w:rFonts w:ascii="Arial" w:cs="Arial" w:eastAsia="Arial" w:hAnsi="Arial"/>
                <w:sz w:val="20"/>
                <w:szCs w:val="20"/>
              </w:rPr>
              <w:t xml:space="preserve"/>
            </w:r>
          </w:p>
        </w:tc>
      </w:tr>
    </w:tbl>
    <w:p>
      <w:pPr>
        <w:spacing w:after="140" w:before="320"/>
      </w:pPr>
      <w:r>
        <w:rPr>
          <w:rFonts w:ascii="Arial" w:cs="Arial" w:eastAsia="Arial" w:hAnsi="Arial"/>
          <w:b/>
          <w:bCs/>
          <w:color w:val="211E4F"/>
          <w:sz w:val="24"/>
          <w:szCs w:val="24"/>
        </w:rPr>
        <w:t xml:space="preserve">3 · Auf welcher Stufe stehe ich?</w:t>
      </w:r>
    </w:p>
    <w:tbl>
      <w:tblPr>
        <w:tblW w:type="dxa" w:w="9638"/>
        <w:tblBorders>
          <w:top w:val="single" w:color="CFCDDE" w:sz="4"/>
          <w:left w:val="single" w:color="CFCDDE" w:sz="4"/>
          <w:bottom w:val="single" w:color="CFCDDE" w:sz="4"/>
          <w:right w:val="single" w:color="CFCDDE" w:sz="4"/>
          <w:insideH w:val="single" w:color="CFCDDE" w:sz="4"/>
          <w:insideV w:val="single" w:color="CFCDDE" w:sz="4"/>
        </w:tblBorders>
      </w:tblPr>
      <w:tblGrid>
        <w:gridCol w:w="8038"/>
        <w:gridCol w:w="1600"/>
      </w:tblGrid>
      <w:tr>
        <w:tc>
          <w:tcPr>
            <w:tcW w:type="dxa" w:w="8038"/>
            <w:shd w:fill="D9EFF1" w:color="auto" w:val="clear"/>
            <w:tcMar>
              <w:top w:type="dxa" w:w="110"/>
              <w:left w:type="dxa" w:w="140"/>
              <w:bottom w:type="dxa" w:w="110"/>
              <w:right w:type="dxa" w:w="140"/>
            </w:tcMar>
            <w:vAlign w:val="center"/>
          </w:tcPr>
          <w:p>
            <w:r>
              <w:rPr>
                <w:rFonts w:ascii="Arial" w:cs="Arial" w:eastAsia="Arial" w:hAnsi="Arial"/>
                <w:sz w:val="20"/>
                <w:szCs w:val="20"/>
              </w:rPr>
              <w:t xml:space="preserve">Freundlicher Hinweis – möglicherweise beruht das Verhalten nur auf einem Missverständnis oder Versehen.</w:t>
            </w:r>
          </w:p>
        </w:tc>
        <w:tc>
          <w:tcPr>
            <w:tcW w:type="dxa" w:w="1600"/>
            <w:shd w:fill="D9EFF1"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FFFFFF" w:color="auto" w:val="clear"/>
            <w:tcMar>
              <w:top w:type="dxa" w:w="110"/>
              <w:left w:type="dxa" w:w="140"/>
              <w:bottom w:type="dxa" w:w="110"/>
              <w:right w:type="dxa" w:w="140"/>
            </w:tcMar>
            <w:vAlign w:val="center"/>
          </w:tcPr>
          <w:p>
            <w:r>
              <w:rPr>
                <w:rFonts w:ascii="Arial" w:cs="Arial" w:eastAsia="Arial" w:hAnsi="Arial"/>
                <w:sz w:val="20"/>
                <w:szCs w:val="20"/>
              </w:rPr>
              <w:t xml:space="preserve">Vieraugengespräch – sachlich und erfolgsorientiert mit der Arbeitnehmervertretung.</w:t>
            </w:r>
          </w:p>
        </w:tc>
        <w:tc>
          <w:tcPr>
            <w:tcW w:type="dxa" w:w="1600"/>
            <w:shd w:fill="FFFFFF"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D9EFF1" w:color="auto" w:val="clear"/>
            <w:tcMar>
              <w:top w:type="dxa" w:w="110"/>
              <w:left w:type="dxa" w:w="140"/>
              <w:bottom w:type="dxa" w:w="110"/>
              <w:right w:type="dxa" w:w="140"/>
            </w:tcMar>
            <w:vAlign w:val="center"/>
          </w:tcPr>
          <w:p>
            <w:r>
              <w:rPr>
                <w:rFonts w:ascii="Arial" w:cs="Arial" w:eastAsia="Arial" w:hAnsi="Arial"/>
                <w:sz w:val="20"/>
                <w:szCs w:val="20"/>
              </w:rPr>
              <w:t xml:space="preserve">Vermittlung durch den Inklusionsbeauftragten des Arbeitgebers.</w:t>
            </w:r>
          </w:p>
        </w:tc>
        <w:tc>
          <w:tcPr>
            <w:tcW w:type="dxa" w:w="1600"/>
            <w:shd w:fill="D9EFF1"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FFFFFF" w:color="auto" w:val="clear"/>
            <w:tcMar>
              <w:top w:type="dxa" w:w="110"/>
              <w:left w:type="dxa" w:w="140"/>
              <w:bottom w:type="dxa" w:w="110"/>
              <w:right w:type="dxa" w:w="140"/>
            </w:tcMar>
            <w:vAlign w:val="center"/>
          </w:tcPr>
          <w:p>
            <w:r>
              <w:rPr>
                <w:rFonts w:ascii="Arial" w:cs="Arial" w:eastAsia="Arial" w:hAnsi="Arial"/>
                <w:sz w:val="20"/>
                <w:szCs w:val="20"/>
              </w:rPr>
              <w:t xml:space="preserve">Vermittlung durch das Integrationsamt.</w:t>
            </w:r>
          </w:p>
        </w:tc>
        <w:tc>
          <w:tcPr>
            <w:tcW w:type="dxa" w:w="1600"/>
            <w:shd w:fill="FFFFFF"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D9EFF1" w:color="auto" w:val="clear"/>
            <w:tcMar>
              <w:top w:type="dxa" w:w="110"/>
              <w:left w:type="dxa" w:w="140"/>
              <w:bottom w:type="dxa" w:w="110"/>
              <w:right w:type="dxa" w:w="140"/>
            </w:tcMar>
            <w:vAlign w:val="center"/>
          </w:tcPr>
          <w:p>
            <w:r>
              <w:rPr>
                <w:rFonts w:ascii="Arial" w:cs="Arial" w:eastAsia="Arial" w:hAnsi="Arial"/>
                <w:sz w:val="20"/>
                <w:szCs w:val="20"/>
              </w:rPr>
              <w:t xml:space="preserve">Vermittlung durch einen professionellen Mediator (Kosten trägt der Arbeitgeber).</w:t>
            </w:r>
          </w:p>
        </w:tc>
        <w:tc>
          <w:tcPr>
            <w:tcW w:type="dxa" w:w="1600"/>
            <w:shd w:fill="D9EFF1"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r>
        <w:tc>
          <w:tcPr>
            <w:tcW w:type="dxa" w:w="8038"/>
            <w:shd w:fill="FFFFFF" w:color="auto" w:val="clear"/>
            <w:tcMar>
              <w:top w:type="dxa" w:w="110"/>
              <w:left w:type="dxa" w:w="140"/>
              <w:bottom w:type="dxa" w:w="110"/>
              <w:right w:type="dxa" w:w="140"/>
            </w:tcMar>
            <w:vAlign w:val="center"/>
          </w:tcPr>
          <w:p>
            <w:r>
              <w:rPr>
                <w:rFonts w:ascii="Arial" w:cs="Arial" w:eastAsia="Arial" w:hAnsi="Arial"/>
                <w:sz w:val="20"/>
                <w:szCs w:val="20"/>
              </w:rPr>
              <w:t xml:space="preserve">Rechtliche Schritte.</w:t>
            </w:r>
          </w:p>
        </w:tc>
        <w:tc>
          <w:tcPr>
            <w:tcW w:type="dxa" w:w="1600"/>
            <w:shd w:fill="FFFFFF" w:color="auto" w:val="clear"/>
            <w:tcMar>
              <w:top w:type="dxa" w:w="110"/>
              <w:left w:type="dxa" w:w="140"/>
              <w:bottom w:type="dxa" w:w="110"/>
              <w:right w:type="dxa" w:w="140"/>
            </w:tcMar>
            <w:vAlign w:val="center"/>
          </w:tcPr>
          <w:p>
            <w:pPr>
              <w:jc w:val="center"/>
            </w:pPr>
            <w:r>
              <w:rPr>
                <w:rFonts w:ascii="Arial" w:cs="Arial" w:eastAsia="Arial" w:hAnsi="Arial"/>
                <w:sz w:val="28"/>
                <w:szCs w:val="28"/>
              </w:rPr>
              <w:t xml:space="preserve">☐</w:t>
            </w:r>
          </w:p>
        </w:tc>
      </w:tr>
    </w:tbl>
    <w:p>
      <w:pPr>
        <w:spacing w:after="160"/>
      </w:pPr>
    </w:p>
    <w:p>
      <w:pPr>
        <w:spacing w:after="0" w:before="0"/>
      </w:pPr>
      <w:r>
        <w:rPr>
          <w:rFonts w:ascii="Arial" w:cs="Arial" w:eastAsia="Arial" w:hAnsi="Arial"/>
          <w:b w:val="false"/>
          <w:bCs w:val="false"/>
          <w:i/>
          <w:iCs/>
          <w:color w:val="6E6C85"/>
          <w:sz w:val="20"/>
          <w:szCs w:val="20"/>
        </w:rPr>
        <w:t xml:space="preserve">Warten Sie nicht zu lange: Je länger ein Konflikt schwelt, desto schwieriger ist es, ihn beizulegen.</w:t>
      </w:r>
    </w:p>
    <w:p>
      <w:pPr>
        <w:spacing w:after="140" w:before="320"/>
      </w:pPr>
      <w:r>
        <w:rPr>
          <w:rFonts w:ascii="Arial" w:cs="Arial" w:eastAsia="Arial" w:hAnsi="Arial"/>
          <w:b/>
          <w:bCs/>
          <w:color w:val="211E4F"/>
          <w:sz w:val="24"/>
          <w:szCs w:val="24"/>
        </w:rPr>
        <w:t xml:space="preserve">4 · Ergebnis und nächster Schritt</w:t>
      </w:r>
    </w:p>
    <w:tbl>
      <w:tblPr>
        <w:tblW w:type="dxa" w:w="9638"/>
        <w:tblBorders>
          <w:top w:val="single" w:color="CFCDDE" w:sz="4"/>
          <w:left w:val="single" w:color="CFCDDE" w:sz="4"/>
          <w:bottom w:val="single" w:color="CFCDDE" w:sz="4"/>
          <w:right w:val="single" w:color="CFCDDE" w:sz="4"/>
          <w:insideH w:val="single" w:color="CFCDDE" w:sz="4"/>
          <w:insideV w:val="single" w:color="CFCDDE" w:sz="4"/>
        </w:tblBorders>
      </w:tblPr>
      <w:tblGrid>
        <w:gridCol w:w="3000"/>
        <w:gridCol w:w="6638"/>
      </w:tblGrid>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Was wurde vereinbart?</w:t>
            </w:r>
          </w:p>
        </w:tc>
        <w:tc>
          <w:tcPr>
            <w:tcW w:type="dxa" w:w="6638"/>
            <w:tcMar>
              <w:top w:type="dxa" w:w="110"/>
              <w:left w:type="dxa" w:w="140"/>
              <w:bottom w:type="dxa" w:w="110"/>
              <w:right w:type="dxa" w:w="140"/>
            </w:tcMar>
            <w:vAlign w:val="top"/>
          </w:tcPr>
          <w:p>
            <w:pPr>
              <w:spacing w:after="170" w:before="170"/>
            </w:pPr>
            <w:r>
              <w:rPr>
                <w:rFonts w:ascii="Arial" w:cs="Arial" w:eastAsia="Arial" w:hAnsi="Arial"/>
                <w:sz w:val="20"/>
                <w:szCs w:val="20"/>
              </w:rPr>
              <w:t xml:space="preserve"/>
            </w:r>
          </w:p>
        </w:tc>
      </w:tr>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Was ist offen geblieben?</w:t>
            </w:r>
          </w:p>
        </w:tc>
        <w:tc>
          <w:tcPr>
            <w:tcW w:type="dxa" w:w="6638"/>
            <w:tcMar>
              <w:top w:type="dxa" w:w="110"/>
              <w:left w:type="dxa" w:w="140"/>
              <w:bottom w:type="dxa" w:w="110"/>
              <w:right w:type="dxa" w:w="140"/>
            </w:tcMar>
            <w:vAlign w:val="top"/>
          </w:tcPr>
          <w:p>
            <w:pPr>
              <w:spacing w:after="170" w:before="170"/>
            </w:pPr>
            <w:r>
              <w:rPr>
                <w:rFonts w:ascii="Arial" w:cs="Arial" w:eastAsia="Arial" w:hAnsi="Arial"/>
                <w:sz w:val="20"/>
                <w:szCs w:val="20"/>
              </w:rPr>
              <w:t xml:space="preserve"/>
            </w:r>
          </w:p>
        </w:tc>
      </w:tr>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Nächster Schritt – wer, was, bis wann?</w:t>
            </w:r>
          </w:p>
        </w:tc>
        <w:tc>
          <w:tcPr>
            <w:tcW w:type="dxa" w:w="6638"/>
            <w:tcMar>
              <w:top w:type="dxa" w:w="110"/>
              <w:left w:type="dxa" w:w="140"/>
              <w:bottom w:type="dxa" w:w="110"/>
              <w:right w:type="dxa" w:w="140"/>
            </w:tcMar>
            <w:vAlign w:val="top"/>
          </w:tcPr>
          <w:p>
            <w:pPr>
              <w:spacing w:after="170" w:before="170"/>
            </w:pPr>
            <w:r>
              <w:rPr>
                <w:rFonts w:ascii="Arial" w:cs="Arial" w:eastAsia="Arial" w:hAnsi="Arial"/>
                <w:sz w:val="20"/>
                <w:szCs w:val="20"/>
              </w:rPr>
              <w:t xml:space="preserve"/>
            </w:r>
          </w:p>
        </w:tc>
      </w:tr>
      <w:tr>
        <w:tc>
          <w:tcPr>
            <w:tcW w:type="dxa" w:w="3000"/>
            <w:shd w:fill="E9E8F0" w:color="auto" w:val="clear"/>
            <w:tcMar>
              <w:top w:type="dxa" w:w="110"/>
              <w:left w:type="dxa" w:w="140"/>
              <w:bottom w:type="dxa" w:w="110"/>
              <w:right w:type="dxa" w:w="140"/>
            </w:tcMar>
            <w:vAlign w:val="top"/>
          </w:tcPr>
          <w:p>
            <w:r>
              <w:rPr>
                <w:rFonts w:ascii="Arial" w:cs="Arial" w:eastAsia="Arial" w:hAnsi="Arial"/>
                <w:b/>
                <w:bCs/>
                <w:color w:val="211E4F"/>
                <w:sz w:val="20"/>
                <w:szCs w:val="20"/>
              </w:rPr>
              <w:t xml:space="preserve">Wiedervorlage am</w:t>
            </w:r>
          </w:p>
        </w:tc>
        <w:tc>
          <w:tcPr>
            <w:tcW w:type="dxa" w:w="6638"/>
            <w:tcMar>
              <w:top w:type="dxa" w:w="110"/>
              <w:left w:type="dxa" w:w="140"/>
              <w:bottom w:type="dxa" w:w="110"/>
              <w:right w:type="dxa" w:w="140"/>
            </w:tcMar>
            <w:vAlign w:val="top"/>
          </w:tcPr>
          <w:p>
            <w:pPr>
              <w:spacing w:after="170" w:before="170"/>
            </w:pPr>
            <w:r>
              <w:rPr>
                <w:rFonts w:ascii="Arial" w:cs="Arial" w:eastAsia="Arial" w:hAnsi="Arial"/>
                <w:sz w:val="20"/>
                <w:szCs w:val="20"/>
              </w:rPr>
              <w:t xml:space="preserve"/>
            </w:r>
          </w:p>
        </w:tc>
      </w:tr>
    </w:tbl>
    <w:p>
      <w:pPr>
        <w:spacing w:after="20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20"/>
        <w:gridCol w:w="9518"/>
      </w:tblGrid>
      <w:tr>
        <w:tc>
          <w:tcPr>
            <w:tcW w:type="dxa" w:w="120"/>
            <w:shd w:fill="EEB300" w:color="auto" w:val="clear"/>
            <w:tcMar>
              <w:top w:type="dxa" w:w="0"/>
              <w:left w:type="dxa" w:w="0"/>
              <w:bottom w:type="dxa" w:w="0"/>
              <w:right w:type="dxa" w:w="0"/>
            </w:tcMar>
          </w:tcPr>
          <w:p>
            <w:r>
              <w:rPr>
                <w:sz w:val="2"/>
                <w:szCs w:val="2"/>
              </w:rPr>
              <w:t xml:space="preserve"/>
            </w:r>
          </w:p>
        </w:tc>
        <w:tc>
          <w:tcPr>
            <w:tcW w:type="dxa" w:w="9518"/>
            <w:shd w:fill="FCF2D4" w:color="auto" w:val="clear"/>
            <w:tcMar>
              <w:top w:type="dxa" w:w="180"/>
              <w:left w:type="dxa" w:w="220"/>
              <w:bottom w:type="dxa" w:w="180"/>
              <w:right w:type="dxa" w:w="220"/>
            </w:tcMar>
          </w:tcPr>
          <w:p>
            <w:pPr>
              <w:spacing w:after="100"/>
            </w:pPr>
            <w:r>
              <w:rPr>
                <w:rFonts w:ascii="Arial" w:cs="Arial" w:eastAsia="Arial" w:hAnsi="Arial"/>
                <w:b/>
                <w:bCs/>
                <w:color w:val="211E4F"/>
                <w:sz w:val="21"/>
                <w:szCs w:val="21"/>
              </w:rPr>
              <w:t xml:space="preserve">Aufbewahrung</w:t>
            </w:r>
          </w:p>
          <w:p>
            <w:pPr>
              <w:spacing w:after="100"/>
            </w:pPr>
            <w:r>
              <w:rPr>
                <w:rFonts w:ascii="Arial" w:cs="Arial" w:eastAsia="Arial" w:hAnsi="Arial"/>
                <w:color w:val="211E4F"/>
                <w:sz w:val="20"/>
                <w:szCs w:val="20"/>
              </w:rPr>
              <w:t xml:space="preserve">Bewahren Sie den Bogen verschlossen auf. Notizen und Protokolle dürfen nicht offen herumliegen.</w:t>
            </w:r>
          </w:p>
          <w:p>
            <w:pPr>
              <w:spacing w:after="0"/>
            </w:pPr>
            <w:r>
              <w:rPr>
                <w:rFonts w:ascii="Arial" w:cs="Arial" w:eastAsia="Arial" w:hAnsi="Arial"/>
                <w:color w:val="211E4F"/>
                <w:sz w:val="20"/>
                <w:szCs w:val="20"/>
              </w:rPr>
              <w:t xml:space="preserve">Prüfen Sie regelmäßig, ob die Erforderlichkeit der Aufbewahrung noch besteht – und löschen Sie, sobald sie entfällt.</w:t>
            </w:r>
          </w:p>
        </w:tc>
      </w:tr>
    </w:tbl>
    <w:sectPr>
      <w:headerReference w:type="default" r:id="rId7"/>
      <w:footerReference w:type="default" r:id="rId8"/>
      <w:pgSz w:w="11906" w:h="16838" w:orient="portrait"/>
      <w:pgMar w:top="1000" w:right="1134" w:bottom="1000" w:left="1134" w:header="56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DDE" w:sz="4" w:space="8"/>
      </w:pBdr>
      <w:tabs>
        <w:tab w:val="right" w:pos="9638"/>
      </w:tabs>
    </w:pPr>
    <w:r>
      <w:rPr>
        <w:rFonts w:ascii="Arial" w:cs="Arial" w:eastAsia="Arial" w:hAnsi="Arial"/>
        <w:color w:val="6E6C85"/>
        <w:sz w:val="14"/>
        <w:szCs w:val="14"/>
      </w:rPr>
      <w:t xml:space="preserve">© Schwerbehinderten Kompass – ADIUVA, ein Unternehmensbereich des VNR Verlags für die Deutsche Wirtschaft AG	</w:t>
    </w:r>
    <w:r>
      <w:rPr>
        <w:rFonts w:ascii="Arial" w:cs="Arial" w:eastAsia="Arial" w:hAnsi="Arial"/>
        <w:color w:val="6E6C85"/>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pPr>
    <w:r>
      <w:drawing>
        <wp:inline distT="0" distB="0" distL="0" distR="0">
          <wp:extent cx="1571625"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71625" cy="3143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909ca7ff2af8e63010acefa1676d6316cc0d04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2026-08-05T10:06:09.212Z</dcterms:created>
  <dcterms:modified xsi:type="dcterms:W3CDTF">2026-08-05T10:06:09.212Z</dcterms:modified>
</cp:coreProperties>
</file>

<file path=docProps/custom.xml><?xml version="1.0" encoding="utf-8"?>
<Properties xmlns="http://schemas.openxmlformats.org/officeDocument/2006/custom-properties" xmlns:vt="http://schemas.openxmlformats.org/officeDocument/2006/docPropsVTypes"/>
</file>